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D" w:rsidRPr="00027CE0" w:rsidRDefault="00D351FD" w:rsidP="00D351FD">
      <w:pPr>
        <w:spacing w:before="120" w:after="12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027CE0">
        <w:rPr>
          <w:rFonts w:asciiTheme="minorHAnsi" w:hAnsiTheme="minorHAnsi" w:cstheme="minorHAnsi"/>
          <w:b/>
          <w:i/>
          <w:sz w:val="16"/>
          <w:szCs w:val="16"/>
        </w:rPr>
        <w:t>Tento projekt je financován z ESF+ (</w:t>
      </w:r>
      <w:hyperlink r:id="rId7" w:history="1">
        <w:r w:rsidRPr="00027CE0">
          <w:rPr>
            <w:rStyle w:val="Hypertextovodkaz"/>
            <w:rFonts w:asciiTheme="minorHAnsi" w:hAnsiTheme="minorHAnsi" w:cstheme="minorHAnsi"/>
            <w:b/>
            <w:sz w:val="16"/>
            <w:szCs w:val="16"/>
          </w:rPr>
          <w:t>http://www.esfcr.cz</w:t>
        </w:r>
      </w:hyperlink>
      <w:r w:rsidRPr="00027CE0">
        <w:rPr>
          <w:rFonts w:asciiTheme="minorHAnsi" w:hAnsiTheme="minorHAnsi" w:cstheme="minorHAnsi"/>
          <w:b/>
          <w:i/>
          <w:sz w:val="16"/>
          <w:szCs w:val="16"/>
        </w:rPr>
        <w:t>) prostřednictvím OP JAK (</w:t>
      </w:r>
      <w:hyperlink r:id="rId8" w:history="1">
        <w:r w:rsidRPr="00027CE0">
          <w:rPr>
            <w:rStyle w:val="Hypertextovodkaz"/>
            <w:rFonts w:asciiTheme="minorHAnsi" w:hAnsiTheme="minorHAnsi" w:cstheme="minorHAnsi"/>
            <w:b/>
            <w:sz w:val="16"/>
            <w:szCs w:val="16"/>
          </w:rPr>
          <w:t>https://opjak.cz/</w:t>
        </w:r>
      </w:hyperlink>
      <w:r w:rsidRPr="00027CE0">
        <w:rPr>
          <w:rFonts w:asciiTheme="minorHAnsi" w:hAnsiTheme="minorHAnsi" w:cstheme="minorHAnsi"/>
          <w:b/>
          <w:i/>
          <w:sz w:val="16"/>
          <w:szCs w:val="16"/>
        </w:rPr>
        <w:t>).</w:t>
      </w:r>
    </w:p>
    <w:p w:rsidR="00D351FD" w:rsidRPr="00027CE0" w:rsidRDefault="00D351FD" w:rsidP="00D351FD">
      <w:pPr>
        <w:spacing w:before="120" w:after="12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027CE0">
        <w:rPr>
          <w:rFonts w:asciiTheme="minorHAnsi" w:hAnsiTheme="minorHAnsi" w:cstheme="minorHAnsi"/>
          <w:b/>
          <w:i/>
          <w:sz w:val="16"/>
          <w:szCs w:val="16"/>
        </w:rPr>
        <w:t>Výzva č. 02_23_017 Akční plánování v území – MAP</w:t>
      </w:r>
    </w:p>
    <w:p w:rsidR="00D351FD" w:rsidRDefault="00D351FD" w:rsidP="00D351FD">
      <w:pPr>
        <w:spacing w:before="120" w:after="120" w:line="240" w:lineRule="auto"/>
        <w:jc w:val="center"/>
        <w:rPr>
          <w:b/>
          <w:sz w:val="24"/>
          <w:szCs w:val="24"/>
        </w:rPr>
      </w:pPr>
    </w:p>
    <w:p w:rsidR="00D351FD" w:rsidRDefault="00D351FD" w:rsidP="00D351FD">
      <w:pPr>
        <w:spacing w:before="120" w:after="120" w:line="240" w:lineRule="auto"/>
        <w:jc w:val="center"/>
        <w:rPr>
          <w:b/>
          <w:sz w:val="32"/>
          <w:szCs w:val="32"/>
        </w:rPr>
      </w:pPr>
    </w:p>
    <w:p w:rsidR="00D351FD" w:rsidRDefault="00D351FD" w:rsidP="00D351FD">
      <w:pPr>
        <w:spacing w:before="120" w:after="120" w:line="240" w:lineRule="auto"/>
        <w:jc w:val="center"/>
        <w:rPr>
          <w:b/>
          <w:sz w:val="32"/>
          <w:szCs w:val="32"/>
        </w:rPr>
      </w:pPr>
    </w:p>
    <w:p w:rsidR="00D351FD" w:rsidRPr="00560D70" w:rsidRDefault="00D351FD" w:rsidP="00D351FD">
      <w:pPr>
        <w:spacing w:after="0" w:line="240" w:lineRule="auto"/>
        <w:jc w:val="center"/>
        <w:rPr>
          <w:rFonts w:eastAsia="Calibri" w:cs="Calibri"/>
          <w:color w:val="00B050"/>
          <w:sz w:val="32"/>
          <w:szCs w:val="32"/>
          <w:lang w:eastAsia="cs-CZ"/>
        </w:rPr>
      </w:pPr>
      <w:r w:rsidRPr="00560D70">
        <w:rPr>
          <w:rFonts w:eastAsia="Calibri" w:cs="Calibri"/>
          <w:color w:val="00B050"/>
          <w:sz w:val="32"/>
          <w:szCs w:val="32"/>
          <w:lang w:eastAsia="cs-CZ"/>
        </w:rPr>
        <w:t xml:space="preserve">Místní akční plán rozvoje vzdělávání </w:t>
      </w:r>
    </w:p>
    <w:p w:rsidR="00D351FD" w:rsidRPr="00560D70" w:rsidRDefault="00D351FD" w:rsidP="00D351FD">
      <w:pPr>
        <w:spacing w:after="0" w:line="240" w:lineRule="auto"/>
        <w:jc w:val="center"/>
        <w:rPr>
          <w:rFonts w:eastAsia="Calibri" w:cs="Calibri"/>
          <w:color w:val="00B050"/>
          <w:sz w:val="32"/>
          <w:szCs w:val="32"/>
          <w:lang w:eastAsia="cs-CZ"/>
        </w:rPr>
      </w:pPr>
      <w:r w:rsidRPr="00560D70">
        <w:rPr>
          <w:rFonts w:eastAsia="Calibri" w:cs="Calibri"/>
          <w:color w:val="00B050"/>
          <w:sz w:val="32"/>
          <w:szCs w:val="32"/>
          <w:lang w:eastAsia="cs-CZ"/>
        </w:rPr>
        <w:t>pro SO ORP Ústí nad Labem IV</w:t>
      </w:r>
    </w:p>
    <w:p w:rsidR="00D351FD" w:rsidRPr="00560D70" w:rsidRDefault="00D351FD" w:rsidP="00D351FD">
      <w:pPr>
        <w:spacing w:after="0" w:line="240" w:lineRule="auto"/>
        <w:jc w:val="center"/>
        <w:rPr>
          <w:rFonts w:eastAsia="Calibri" w:cs="Calibri"/>
          <w:color w:val="00B050"/>
          <w:lang w:eastAsia="cs-CZ"/>
        </w:rPr>
      </w:pPr>
      <w:r w:rsidRPr="00560D70">
        <w:rPr>
          <w:rFonts w:eastAsia="Calibri" w:cs="Calibri"/>
          <w:color w:val="00B050"/>
          <w:lang w:eastAsia="cs-CZ"/>
        </w:rPr>
        <w:t xml:space="preserve">Č. projektu: </w:t>
      </w:r>
      <w:proofErr w:type="gramStart"/>
      <w:r w:rsidRPr="00560D70">
        <w:rPr>
          <w:rFonts w:eastAsia="Calibri" w:cs="Calibri"/>
          <w:color w:val="00B050"/>
          <w:lang w:eastAsia="cs-CZ"/>
        </w:rPr>
        <w:t>CZ.02.02</w:t>
      </w:r>
      <w:proofErr w:type="gramEnd"/>
      <w:r w:rsidRPr="00560D70">
        <w:rPr>
          <w:rFonts w:eastAsia="Calibri" w:cs="Calibri"/>
          <w:color w:val="00B050"/>
          <w:lang w:eastAsia="cs-CZ"/>
        </w:rPr>
        <w:t>.XX/00/23_017/0008147</w:t>
      </w:r>
    </w:p>
    <w:p w:rsidR="00D351FD" w:rsidRPr="005F3646" w:rsidRDefault="00D351FD" w:rsidP="00D351FD">
      <w:pPr>
        <w:jc w:val="center"/>
        <w:rPr>
          <w:rFonts w:cs="Calibri Light"/>
          <w:b/>
          <w:color w:val="002060"/>
          <w:sz w:val="52"/>
          <w:szCs w:val="36"/>
        </w:rPr>
      </w:pPr>
    </w:p>
    <w:p w:rsidR="00D351FD" w:rsidRPr="005F3646" w:rsidRDefault="00D351FD" w:rsidP="00D351FD">
      <w:pPr>
        <w:jc w:val="center"/>
        <w:rPr>
          <w:rFonts w:cs="Calibri Light"/>
          <w:b/>
          <w:color w:val="002060"/>
          <w:sz w:val="52"/>
          <w:szCs w:val="36"/>
        </w:rPr>
      </w:pPr>
    </w:p>
    <w:p w:rsidR="00D351FD" w:rsidRPr="005F3646" w:rsidRDefault="00D351FD" w:rsidP="00D351FD">
      <w:pPr>
        <w:jc w:val="center"/>
        <w:rPr>
          <w:rFonts w:cs="Calibri Light"/>
          <w:b/>
          <w:color w:val="00B050"/>
          <w:sz w:val="48"/>
          <w:szCs w:val="36"/>
        </w:rPr>
      </w:pPr>
      <w:r>
        <w:rPr>
          <w:rFonts w:cs="Calibri Light"/>
          <w:b/>
          <w:color w:val="00B050"/>
          <w:sz w:val="48"/>
          <w:szCs w:val="36"/>
        </w:rPr>
        <w:t>Revize SWOT-3 analýz</w:t>
      </w:r>
    </w:p>
    <w:p w:rsidR="00D351FD" w:rsidRDefault="00D351FD">
      <w:pPr>
        <w:spacing w:line="259" w:lineRule="auto"/>
        <w:jc w:val="left"/>
      </w:pPr>
      <w:r>
        <w:br w:type="page"/>
      </w:r>
    </w:p>
    <w:p w:rsidR="00AF2F9D" w:rsidRDefault="00D351FD" w:rsidP="00D351FD">
      <w:pPr>
        <w:rPr>
          <w:rFonts w:eastAsia="Calibri"/>
        </w:rPr>
      </w:pPr>
      <w:r w:rsidRPr="00A948AA">
        <w:rPr>
          <w:rFonts w:eastAsia="Calibri"/>
        </w:rPr>
        <w:lastRenderedPageBreak/>
        <w:t>Jedná se</w:t>
      </w:r>
      <w:r w:rsidR="00CB4890">
        <w:rPr>
          <w:rFonts w:eastAsia="Calibri"/>
        </w:rPr>
        <w:t xml:space="preserve"> o metodu strategické analýzy,</w:t>
      </w:r>
      <w:r w:rsidRPr="00AF2F9D">
        <w:rPr>
          <w:rFonts w:eastAsia="Calibri"/>
        </w:rPr>
        <w:t xml:space="preserve"> výraz SWOT je akronymem anglických slov S = </w:t>
      </w:r>
      <w:proofErr w:type="spellStart"/>
      <w:r w:rsidRPr="00AF2F9D">
        <w:rPr>
          <w:rFonts w:eastAsia="Calibri"/>
        </w:rPr>
        <w:t>Strengths</w:t>
      </w:r>
      <w:proofErr w:type="spellEnd"/>
      <w:r w:rsidRPr="00AF2F9D">
        <w:rPr>
          <w:rFonts w:eastAsia="Calibri"/>
        </w:rPr>
        <w:t xml:space="preserve"> (Silné stránky), W = </w:t>
      </w:r>
      <w:proofErr w:type="spellStart"/>
      <w:r w:rsidRPr="00AF2F9D">
        <w:rPr>
          <w:rFonts w:eastAsia="Calibri"/>
        </w:rPr>
        <w:t>Weaknesses</w:t>
      </w:r>
      <w:proofErr w:type="spellEnd"/>
      <w:r w:rsidRPr="00AF2F9D">
        <w:rPr>
          <w:rFonts w:eastAsia="Calibri"/>
        </w:rPr>
        <w:t xml:space="preserve"> (Slabé stránky), O = </w:t>
      </w:r>
      <w:proofErr w:type="spellStart"/>
      <w:r w:rsidRPr="00AF2F9D">
        <w:rPr>
          <w:rFonts w:eastAsia="Calibri"/>
        </w:rPr>
        <w:t>Opportunities</w:t>
      </w:r>
      <w:proofErr w:type="spellEnd"/>
      <w:r w:rsidRPr="00AF2F9D">
        <w:rPr>
          <w:rFonts w:eastAsia="Calibri"/>
        </w:rPr>
        <w:t xml:space="preserve"> (Příležitosti), T = </w:t>
      </w:r>
      <w:proofErr w:type="spellStart"/>
      <w:r w:rsidRPr="00AF2F9D">
        <w:rPr>
          <w:rFonts w:eastAsia="Calibri"/>
        </w:rPr>
        <w:t>Threats</w:t>
      </w:r>
      <w:proofErr w:type="spellEnd"/>
      <w:r w:rsidRPr="00AF2F9D">
        <w:rPr>
          <w:rFonts w:eastAsia="Calibri"/>
        </w:rPr>
        <w:t xml:space="preserve"> (Hrozby). </w:t>
      </w:r>
      <w:r w:rsidR="00EF3C19">
        <w:rPr>
          <w:rFonts w:eastAsia="Calibri"/>
        </w:rPr>
        <w:t xml:space="preserve">Aktuální dokument </w:t>
      </w:r>
      <w:r w:rsidR="00EF3C19" w:rsidRPr="00CB4890">
        <w:rPr>
          <w:bCs/>
        </w:rPr>
        <w:t>představuje</w:t>
      </w:r>
      <w:r w:rsidRPr="00AF2F9D">
        <w:rPr>
          <w:rFonts w:eastAsia="Calibri"/>
        </w:rPr>
        <w:t xml:space="preserve"> revidovanou SWOT-3 analýzu, která byla vytvořena v předchozích projektech MAP, a která byla následně aktualizována na základě získaných podkladů a informací z území. </w:t>
      </w:r>
    </w:p>
    <w:p w:rsidR="007B0084" w:rsidRDefault="007B0084" w:rsidP="007B0084">
      <w:pPr>
        <w:rPr>
          <w:bCs/>
        </w:rPr>
      </w:pPr>
      <w:r>
        <w:t xml:space="preserve">Dle aktuální </w:t>
      </w:r>
      <w:r w:rsidRPr="00CB4890">
        <w:rPr>
          <w:bCs/>
        </w:rPr>
        <w:t>metodiky</w:t>
      </w:r>
      <w:r>
        <w:t xml:space="preserve"> projektu</w:t>
      </w:r>
      <w:r>
        <w:rPr>
          <w:bCs/>
        </w:rPr>
        <w:t xml:space="preserve"> (PpŽP – specifická část, výzvy Akční plánování v území – MAP)</w:t>
      </w:r>
      <w:r w:rsidRPr="00891282">
        <w:rPr>
          <w:bCs/>
        </w:rPr>
        <w:t xml:space="preserve">, </w:t>
      </w:r>
      <w:r>
        <w:rPr>
          <w:bCs/>
        </w:rPr>
        <w:t xml:space="preserve">se </w:t>
      </w:r>
      <w:r w:rsidR="00EF3C19">
        <w:rPr>
          <w:bCs/>
        </w:rPr>
        <w:t>revize SWOT-3 analýz provádí</w:t>
      </w:r>
      <w:r>
        <w:rPr>
          <w:bCs/>
        </w:rPr>
        <w:t xml:space="preserve"> pro tři klíčová témata: </w:t>
      </w:r>
    </w:p>
    <w:p w:rsidR="007B0084" w:rsidRDefault="007B0084" w:rsidP="007B0084">
      <w:pPr>
        <w:pStyle w:val="Odstavecseseznamem"/>
        <w:numPr>
          <w:ilvl w:val="0"/>
          <w:numId w:val="6"/>
        </w:numPr>
        <w:spacing w:after="120" w:line="276" w:lineRule="auto"/>
        <w:rPr>
          <w:bCs/>
        </w:rPr>
      </w:pPr>
      <w:r>
        <w:rPr>
          <w:bCs/>
        </w:rPr>
        <w:t>Moderní didaktické formy vedoucí k rozvoji klíčových kompetencí;</w:t>
      </w:r>
    </w:p>
    <w:p w:rsidR="007B0084" w:rsidRPr="00891282" w:rsidRDefault="007B0084" w:rsidP="007B0084">
      <w:pPr>
        <w:pStyle w:val="Odstavecseseznamem"/>
        <w:numPr>
          <w:ilvl w:val="0"/>
          <w:numId w:val="6"/>
        </w:numPr>
        <w:spacing w:after="120" w:line="276" w:lineRule="auto"/>
        <w:rPr>
          <w:bCs/>
        </w:rPr>
      </w:pPr>
      <w:r w:rsidRPr="00891282">
        <w:rPr>
          <w:bCs/>
        </w:rPr>
        <w:t>Rozvoj potenciálu každého žáka</w:t>
      </w:r>
      <w:r>
        <w:rPr>
          <w:bCs/>
        </w:rPr>
        <w:t>, zejména žáků se sociálním a jiným znevýhodněním</w:t>
      </w:r>
      <w:r w:rsidRPr="00891282">
        <w:rPr>
          <w:bCs/>
        </w:rPr>
        <w:t>;</w:t>
      </w:r>
    </w:p>
    <w:p w:rsidR="007B0084" w:rsidRDefault="007B0084" w:rsidP="007B0084">
      <w:pPr>
        <w:pStyle w:val="Odstavecseseznamem"/>
        <w:numPr>
          <w:ilvl w:val="0"/>
          <w:numId w:val="6"/>
        </w:numPr>
        <w:spacing w:after="120" w:line="276" w:lineRule="auto"/>
        <w:rPr>
          <w:bCs/>
        </w:rPr>
      </w:pPr>
      <w:r>
        <w:rPr>
          <w:bCs/>
        </w:rPr>
        <w:t>Podpora pedagogických a</w:t>
      </w:r>
      <w:r w:rsidRPr="00891282">
        <w:rPr>
          <w:bCs/>
        </w:rPr>
        <w:t xml:space="preserve"> didaktických kompetencí pracovníků ve vzdělávání</w:t>
      </w:r>
      <w:r>
        <w:rPr>
          <w:bCs/>
        </w:rPr>
        <w:t xml:space="preserve"> a podpora managementu třídních kolektivů</w:t>
      </w:r>
      <w:r w:rsidRPr="00891282">
        <w:rPr>
          <w:bCs/>
        </w:rPr>
        <w:t>.</w:t>
      </w:r>
    </w:p>
    <w:p w:rsidR="007B0084" w:rsidRDefault="007B0084" w:rsidP="007B0084">
      <w:pPr>
        <w:rPr>
          <w:bCs/>
        </w:rPr>
      </w:pPr>
      <w:r>
        <w:rPr>
          <w:bCs/>
        </w:rPr>
        <w:t>Dále byly SWOT-3 analýzy zpracovány pro další témata/oblasti:</w:t>
      </w:r>
    </w:p>
    <w:p w:rsidR="008729CD" w:rsidRPr="006837B0" w:rsidRDefault="008729CD" w:rsidP="008729CD">
      <w:pPr>
        <w:pStyle w:val="Odstavecseseznamem"/>
        <w:numPr>
          <w:ilvl w:val="0"/>
          <w:numId w:val="6"/>
        </w:numPr>
        <w:spacing w:after="120" w:line="276" w:lineRule="auto"/>
        <w:rPr>
          <w:bCs/>
        </w:rPr>
      </w:pPr>
      <w:r w:rsidRPr="006837B0">
        <w:rPr>
          <w:bCs/>
        </w:rPr>
        <w:t xml:space="preserve">Podpora </w:t>
      </w:r>
      <w:r>
        <w:rPr>
          <w:bCs/>
        </w:rPr>
        <w:t xml:space="preserve">rozvoje </w:t>
      </w:r>
      <w:r w:rsidRPr="006837B0">
        <w:rPr>
          <w:bCs/>
        </w:rPr>
        <w:t xml:space="preserve">čtenářské </w:t>
      </w:r>
      <w:r>
        <w:rPr>
          <w:bCs/>
        </w:rPr>
        <w:t>(</w:t>
      </w:r>
      <w:proofErr w:type="spellStart"/>
      <w:r>
        <w:rPr>
          <w:bCs/>
        </w:rPr>
        <w:t>pre</w:t>
      </w:r>
      <w:proofErr w:type="spellEnd"/>
      <w:r>
        <w:rPr>
          <w:bCs/>
        </w:rPr>
        <w:t>)</w:t>
      </w:r>
      <w:r w:rsidRPr="006837B0">
        <w:rPr>
          <w:bCs/>
        </w:rPr>
        <w:t>gramotnosti;</w:t>
      </w:r>
    </w:p>
    <w:p w:rsidR="008729CD" w:rsidRPr="006837B0" w:rsidRDefault="008729CD" w:rsidP="008729CD">
      <w:pPr>
        <w:pStyle w:val="Odstavecseseznamem"/>
        <w:numPr>
          <w:ilvl w:val="0"/>
          <w:numId w:val="6"/>
        </w:numPr>
        <w:spacing w:after="120" w:line="276" w:lineRule="auto"/>
        <w:rPr>
          <w:bCs/>
        </w:rPr>
      </w:pPr>
      <w:r w:rsidRPr="006837B0">
        <w:rPr>
          <w:bCs/>
        </w:rPr>
        <w:t xml:space="preserve">Podpora </w:t>
      </w:r>
      <w:r>
        <w:rPr>
          <w:bCs/>
        </w:rPr>
        <w:t xml:space="preserve">rozvoje </w:t>
      </w:r>
      <w:r w:rsidRPr="006837B0">
        <w:rPr>
          <w:bCs/>
        </w:rPr>
        <w:t xml:space="preserve">matematické </w:t>
      </w:r>
      <w:r>
        <w:rPr>
          <w:bCs/>
        </w:rPr>
        <w:t>(</w:t>
      </w:r>
      <w:proofErr w:type="spellStart"/>
      <w:r>
        <w:rPr>
          <w:bCs/>
        </w:rPr>
        <w:t>pre</w:t>
      </w:r>
      <w:proofErr w:type="spellEnd"/>
      <w:r>
        <w:rPr>
          <w:bCs/>
        </w:rPr>
        <w:t>)</w:t>
      </w:r>
      <w:r w:rsidRPr="006837B0">
        <w:rPr>
          <w:bCs/>
        </w:rPr>
        <w:t>gramotnosti;</w:t>
      </w:r>
    </w:p>
    <w:p w:rsidR="008729CD" w:rsidRDefault="008729CD" w:rsidP="008729CD">
      <w:pPr>
        <w:pStyle w:val="Odstavecseseznamem"/>
        <w:numPr>
          <w:ilvl w:val="0"/>
          <w:numId w:val="6"/>
        </w:numPr>
        <w:spacing w:after="120" w:line="276" w:lineRule="auto"/>
        <w:rPr>
          <w:bCs/>
        </w:rPr>
      </w:pPr>
      <w:r>
        <w:rPr>
          <w:bCs/>
        </w:rPr>
        <w:t xml:space="preserve">Podpora </w:t>
      </w:r>
      <w:r w:rsidRPr="00FE0A7F">
        <w:rPr>
          <w:bCs/>
        </w:rPr>
        <w:t>digi</w:t>
      </w:r>
      <w:r>
        <w:rPr>
          <w:bCs/>
        </w:rPr>
        <w:t>tálních kompetencí;</w:t>
      </w:r>
    </w:p>
    <w:p w:rsidR="00F80A2F" w:rsidRDefault="005E326F" w:rsidP="00F80A2F">
      <w:pPr>
        <w:rPr>
          <w:rFonts w:eastAsia="Calibri"/>
        </w:rPr>
      </w:pPr>
      <w:r>
        <w:rPr>
          <w:bCs/>
        </w:rPr>
        <w:t>Vzhledem ke komplexnosti procesu vzdělávání jsou jednotlivá témata</w:t>
      </w:r>
      <w:r w:rsidR="00CB4890">
        <w:rPr>
          <w:bCs/>
        </w:rPr>
        <w:t xml:space="preserve"> analýzy mezi sebou provázaná a </w:t>
      </w:r>
      <w:r>
        <w:rPr>
          <w:bCs/>
        </w:rPr>
        <w:t xml:space="preserve">dochází k tematickým překryvům. Nejvyšší míra </w:t>
      </w:r>
      <w:r w:rsidR="00F80A2F">
        <w:rPr>
          <w:rFonts w:eastAsia="Calibri"/>
        </w:rPr>
        <w:t xml:space="preserve">logické </w:t>
      </w:r>
      <w:r>
        <w:rPr>
          <w:rFonts w:eastAsia="Calibri"/>
        </w:rPr>
        <w:t>vazby byla identifikována</w:t>
      </w:r>
      <w:r w:rsidR="00F80A2F">
        <w:rPr>
          <w:rFonts w:eastAsia="Calibri"/>
        </w:rPr>
        <w:t xml:space="preserve"> </w:t>
      </w:r>
      <w:r w:rsidR="00CB4890">
        <w:rPr>
          <w:rFonts w:eastAsia="Calibri"/>
        </w:rPr>
        <w:t xml:space="preserve">právě </w:t>
      </w:r>
      <w:r w:rsidR="00F80A2F">
        <w:rPr>
          <w:rFonts w:eastAsia="Calibri"/>
        </w:rPr>
        <w:t>mezi klíčovým tématem „Moderní didaktické formy vedoucí k rozvoji klíčových kompetencí“ a klíčovým tématem „</w:t>
      </w:r>
      <w:r w:rsidR="00F80A2F">
        <w:rPr>
          <w:bCs/>
        </w:rPr>
        <w:t>Podpora pedagogických a</w:t>
      </w:r>
      <w:r w:rsidR="00F80A2F" w:rsidRPr="00891282">
        <w:rPr>
          <w:bCs/>
        </w:rPr>
        <w:t xml:space="preserve"> didaktických kompetencí pracovníků ve vzdělávání</w:t>
      </w:r>
      <w:r w:rsidR="00F80A2F">
        <w:rPr>
          <w:bCs/>
        </w:rPr>
        <w:t xml:space="preserve"> a podpora managementu třídních kolektivů“</w:t>
      </w:r>
      <w:r>
        <w:rPr>
          <w:bCs/>
        </w:rPr>
        <w:t>, proto jsou některé body analýzy v těchto tématech podobné a při jejich interpretaci je nutné brát v potaz celkov</w:t>
      </w:r>
      <w:r w:rsidR="00CB4890">
        <w:rPr>
          <w:bCs/>
        </w:rPr>
        <w:t>ý</w:t>
      </w:r>
      <w:r>
        <w:rPr>
          <w:bCs/>
        </w:rPr>
        <w:t xml:space="preserve"> kontext řešeného tématu. Každou SWOT-3 analýzu proto doplňují závěry, které </w:t>
      </w:r>
      <w:r w:rsidR="00CB4890">
        <w:rPr>
          <w:bCs/>
        </w:rPr>
        <w:t xml:space="preserve">zároveň </w:t>
      </w:r>
      <w:r w:rsidR="00F80A2F">
        <w:rPr>
          <w:rFonts w:eastAsia="Calibri"/>
        </w:rPr>
        <w:t xml:space="preserve">reagují </w:t>
      </w:r>
      <w:r w:rsidR="00CB4890">
        <w:rPr>
          <w:rFonts w:eastAsia="Calibri"/>
        </w:rPr>
        <w:t xml:space="preserve">jak </w:t>
      </w:r>
      <w:r>
        <w:rPr>
          <w:rFonts w:eastAsia="Calibri"/>
        </w:rPr>
        <w:t>na </w:t>
      </w:r>
      <w:r w:rsidR="00F80A2F">
        <w:rPr>
          <w:rFonts w:eastAsia="Calibri"/>
        </w:rPr>
        <w:t xml:space="preserve">identifikované příčiny </w:t>
      </w:r>
      <w:r w:rsidR="00CB4890">
        <w:rPr>
          <w:rFonts w:eastAsia="Calibri"/>
        </w:rPr>
        <w:t xml:space="preserve">dílčích problémů a </w:t>
      </w:r>
      <w:r w:rsidR="00F80A2F">
        <w:rPr>
          <w:rFonts w:eastAsia="Calibri"/>
        </w:rPr>
        <w:t>návrh</w:t>
      </w:r>
      <w:r w:rsidR="00CB4890">
        <w:rPr>
          <w:rFonts w:eastAsia="Calibri"/>
        </w:rPr>
        <w:t>y</w:t>
      </w:r>
      <w:r w:rsidR="00F80A2F">
        <w:rPr>
          <w:rFonts w:eastAsia="Calibri"/>
        </w:rPr>
        <w:t xml:space="preserve"> řešení</w:t>
      </w:r>
      <w:r w:rsidR="00CB4890">
        <w:rPr>
          <w:rFonts w:eastAsia="Calibri"/>
        </w:rPr>
        <w:t>, tak shrnují důležité poznatky klíčové pro další fáze realizace procesu místního akčního plánování, resp. pro aktualizaci hlavních problémů k řešení a především pro aktualizaci strategické části MAP.</w:t>
      </w:r>
    </w:p>
    <w:p w:rsidR="00FD73E6" w:rsidRDefault="00CB4890" w:rsidP="00CB4890">
      <w:r>
        <w:t xml:space="preserve">Na základě jednání pracovních skupin byly v rámci diskuze nad vnějšími hrozbami identifikovány nad rámec řešených </w:t>
      </w:r>
      <w:r w:rsidRPr="00CB4890">
        <w:rPr>
          <w:bCs/>
        </w:rPr>
        <w:t>témat</w:t>
      </w:r>
      <w:r>
        <w:t xml:space="preserve"> průřezové hrozby velkého rozsahu, které však aktéři rozvoje vzdělávání nedokáží ovlivnit. Jedná se o zásadní změny ovlivňující jak vzdělávání, tak celkový stav společnosti (např. COVID-19, válka na Ukrajině, rozvoj AI). </w:t>
      </w:r>
      <w:r w:rsidR="006F551D">
        <w:t>Aktuálně jsou dopady těchto situací</w:t>
      </w:r>
      <w:r w:rsidR="007E1476">
        <w:t xml:space="preserve"> relativně</w:t>
      </w:r>
      <w:r w:rsidR="006F551D">
        <w:t xml:space="preserve"> pod kontrolou, avšak budoucí vývoj vzbuzuje v aktérech rozvoje vzdělávání jisté obavy.</w:t>
      </w:r>
    </w:p>
    <w:p w:rsidR="00FD73E6" w:rsidRDefault="00FD73E6">
      <w:pPr>
        <w:spacing w:line="259" w:lineRule="auto"/>
        <w:jc w:val="left"/>
      </w:pPr>
      <w:r>
        <w:br w:type="page"/>
      </w:r>
    </w:p>
    <w:p w:rsidR="00BF6C30" w:rsidRPr="006F1360" w:rsidRDefault="00BF6C30" w:rsidP="006F1360">
      <w:pPr>
        <w:pBdr>
          <w:bottom w:val="single" w:sz="4" w:space="1" w:color="auto"/>
        </w:pBdr>
        <w:spacing w:after="120" w:line="276" w:lineRule="auto"/>
        <w:jc w:val="center"/>
        <w:rPr>
          <w:b/>
          <w:sz w:val="28"/>
        </w:rPr>
      </w:pPr>
      <w:r w:rsidRPr="006F1360">
        <w:rPr>
          <w:b/>
          <w:sz w:val="28"/>
        </w:rPr>
        <w:lastRenderedPageBreak/>
        <w:t>SWOT-3 analýzy pro klíčová témata MAP:</w:t>
      </w:r>
    </w:p>
    <w:p w:rsidR="00BF6C30" w:rsidRPr="00F60A84" w:rsidRDefault="00BF6C30" w:rsidP="00BF6C30">
      <w:pPr>
        <w:pBdr>
          <w:top w:val="single" w:sz="18" w:space="1" w:color="385623" w:themeColor="accent6" w:themeShade="80"/>
          <w:left w:val="single" w:sz="18" w:space="4" w:color="385623" w:themeColor="accent6" w:themeShade="80"/>
          <w:bottom w:val="single" w:sz="18" w:space="1" w:color="385623" w:themeColor="accent6" w:themeShade="80"/>
          <w:right w:val="single" w:sz="18" w:space="4" w:color="385623" w:themeColor="accent6" w:themeShade="80"/>
        </w:pBdr>
        <w:spacing w:before="120" w:after="120" w:line="240" w:lineRule="auto"/>
        <w:ind w:left="113" w:right="142"/>
        <w:jc w:val="center"/>
        <w:rPr>
          <w:b/>
          <w:color w:val="00B050"/>
          <w:sz w:val="28"/>
          <w:szCs w:val="28"/>
        </w:rPr>
      </w:pPr>
      <w:r w:rsidRPr="00F60A84">
        <w:rPr>
          <w:b/>
          <w:color w:val="00B050"/>
          <w:sz w:val="28"/>
          <w:szCs w:val="28"/>
        </w:rPr>
        <w:t>Moderní didaktické formy vedoucí k rozvoji klíčových kompetencí</w:t>
      </w:r>
    </w:p>
    <w:tbl>
      <w:tblPr>
        <w:tblStyle w:val="Mkatabulky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F6C30" w:rsidRPr="00F60A84" w:rsidTr="004B5262">
        <w:trPr>
          <w:trHeight w:val="283"/>
        </w:trPr>
        <w:tc>
          <w:tcPr>
            <w:tcW w:w="4531" w:type="dxa"/>
            <w:vAlign w:val="center"/>
          </w:tcPr>
          <w:p w:rsidR="00BF6C30" w:rsidRPr="00F60A84" w:rsidRDefault="00BF6C30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60A84">
              <w:rPr>
                <w:rFonts w:cs="Times New Roman"/>
                <w:b/>
                <w:bCs/>
                <w:sz w:val="20"/>
                <w:szCs w:val="20"/>
              </w:rPr>
              <w:t>S - Silné stránky</w:t>
            </w:r>
          </w:p>
        </w:tc>
        <w:tc>
          <w:tcPr>
            <w:tcW w:w="4531" w:type="dxa"/>
            <w:vAlign w:val="center"/>
          </w:tcPr>
          <w:p w:rsidR="00BF6C30" w:rsidRPr="00F60A84" w:rsidRDefault="00BF6C30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60A84">
              <w:rPr>
                <w:rFonts w:cs="Times New Roman"/>
                <w:b/>
                <w:bCs/>
                <w:sz w:val="20"/>
                <w:szCs w:val="20"/>
              </w:rPr>
              <w:t>W - Slabé stránky</w:t>
            </w:r>
          </w:p>
        </w:tc>
      </w:tr>
      <w:tr w:rsidR="00BF6C30" w:rsidRPr="004B5262" w:rsidTr="004B5262">
        <w:trPr>
          <w:trHeight w:val="20"/>
        </w:trPr>
        <w:tc>
          <w:tcPr>
            <w:tcW w:w="4531" w:type="dxa"/>
          </w:tcPr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Osvědčené didaktické formy (projektová výuka, skupinové vyučování, používání technologií, exkurze, tandemová výuka, hra, výuka mimo školní prostory, vrstevnické učení).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Skupinové/kooperativní vyučování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Spolupráce s institucemi v území (Muzeum, KÚK, UJEP, školy mezi sebou)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Rozšiřující se nabídka kulturních zařízení napříč krajem.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Dostupná nabídka vzdělávání, inspirace a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didaktických materiálů v rámci projektů.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Aktivní pedagogové v jednotlivých školách (byť menší množství)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4531" w:type="dxa"/>
          </w:tcPr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Obavy z nové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ho, strach ze změny, neochota 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zkostnatělost pedagogů.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Velké množství podnětů a informací (nepřehlednost).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klíčové kompetence pedagogů.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připravenost absolventů PF.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Rizika a obavy o bezpečnost dětí a potenciálních právních důsledků pro PP.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Únava pedagogů.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Individuální míra využití MDF dle jednotlivých učitelů, nekoncepčnost zavádění moderních didaktických forem na úrovni školy jako celku.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„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Jednorázovost</w:t>
            </w:r>
            <w:proofErr w:type="spellEnd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“ některých aktivit (KÚK)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manažerské schopnosti vedení školy.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Absence podpory aktivních PP ze strany vedení školy.</w:t>
            </w:r>
          </w:p>
        </w:tc>
      </w:tr>
      <w:tr w:rsidR="00BF6C30" w:rsidRPr="00F60A84" w:rsidTr="004B5262">
        <w:trPr>
          <w:trHeight w:val="283"/>
        </w:trPr>
        <w:tc>
          <w:tcPr>
            <w:tcW w:w="4531" w:type="dxa"/>
            <w:vAlign w:val="center"/>
          </w:tcPr>
          <w:p w:rsidR="00BF6C30" w:rsidRPr="00F60A84" w:rsidRDefault="00BF6C30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60A84">
              <w:rPr>
                <w:rFonts w:cs="Times New Roman"/>
                <w:b/>
                <w:bCs/>
                <w:sz w:val="20"/>
                <w:szCs w:val="20"/>
              </w:rPr>
              <w:t>O - příležitosti</w:t>
            </w:r>
          </w:p>
        </w:tc>
        <w:tc>
          <w:tcPr>
            <w:tcW w:w="4531" w:type="dxa"/>
            <w:vAlign w:val="center"/>
          </w:tcPr>
          <w:p w:rsidR="00BF6C30" w:rsidRPr="00F60A84" w:rsidRDefault="00BF6C30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60A84">
              <w:rPr>
                <w:rFonts w:cs="Times New Roman"/>
                <w:b/>
                <w:bCs/>
                <w:sz w:val="20"/>
                <w:szCs w:val="20"/>
              </w:rPr>
              <w:t>T- Hrozby</w:t>
            </w:r>
          </w:p>
        </w:tc>
      </w:tr>
      <w:tr w:rsidR="00BF6C30" w:rsidRPr="004B5262" w:rsidTr="004B5262">
        <w:trPr>
          <w:trHeight w:val="20"/>
        </w:trPr>
        <w:tc>
          <w:tcPr>
            <w:tcW w:w="4531" w:type="dxa"/>
          </w:tcPr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Využívání inovativních metod, DVPP, e-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learning</w:t>
            </w:r>
            <w:proofErr w:type="spellEnd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Vzájemná inspirace a podpora 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v pedagogickém sboru i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mimo školu (např. náslechové hodiny).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Wellbeing a klima pedagogického sboru.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Wellbeing a psychohygiena dětí a žáků.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Nastavení jasné vize vedení, strategie a evaluace.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Podpora tématu sebehodnocení dětí (rozvoj slovní zásoby a vyjadřovacích schopností)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Zvýšení kompetencí pedagogů pro práci s heterogenní skupinou žáků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Možnost výběru pedagogů a ukončení pracovního poměru v případě konfliktu PP s vizí školy (změna zákoníku práce).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Navýšení nepedagogických pracovníků (PP ušetří čas, když nebude nucen vykonávat činnost nepedagogickou).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Spolupráce s rodiči (poten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ciál v zapojení prarodičů), vč.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spolupráce s domovy pro seniory.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Kontinuální programy, návazné aktivity (škola-organizace).</w:t>
            </w:r>
          </w:p>
          <w:p w:rsidR="00BF6C30" w:rsidRPr="004B5262" w:rsidRDefault="00237D26" w:rsidP="00237D26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Sdílení inspirativní praxe, s</w:t>
            </w:r>
            <w:r w:rsidR="00BF6C30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etkání s profesionály z různých oborů (např. v ZUŠ, Den ve škole, </w:t>
            </w:r>
            <w:proofErr w:type="spellStart"/>
            <w:r w:rsidR="00BF6C30" w:rsidRPr="004B5262">
              <w:rPr>
                <w:rFonts w:asciiTheme="majorHAnsi" w:hAnsiTheme="majorHAnsi" w:cstheme="majorHAnsi"/>
                <w:sz w:val="18"/>
                <w:szCs w:val="20"/>
              </w:rPr>
              <w:t>Dobroškola</w:t>
            </w:r>
            <w:proofErr w:type="spellEnd"/>
            <w:r w:rsidR="00BF6C30" w:rsidRPr="004B5262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4531" w:type="dxa"/>
          </w:tcPr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Změna přístupu vedení školy.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Roztříštěnost pedagogického sboru.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Snižování finančních prostředků ve školství (např. ONIV).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Nárůst činností administrativní povahy.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Nenaplnění očekávání (učitel připraví vzdělávací program s prvky MDF a nedostaví se očekávaný cíl, výsledek, nadšení…).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Náročnost administrace aktivit podpořených z dotačních zdrojů. </w:t>
            </w:r>
          </w:p>
          <w:p w:rsidR="00BF6C30" w:rsidRPr="004B5262" w:rsidRDefault="00BF6C30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připravenost na implementace změn v RVP ZV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</w:tr>
    </w:tbl>
    <w:p w:rsidR="006F1360" w:rsidRDefault="006F1360" w:rsidP="00BF6C30">
      <w:pPr>
        <w:rPr>
          <w:lang w:eastAsia="cs-CZ"/>
        </w:rPr>
      </w:pPr>
    </w:p>
    <w:p w:rsidR="006F1360" w:rsidRDefault="006F1360">
      <w:pPr>
        <w:spacing w:line="259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:rsidR="00BF6C30" w:rsidRPr="00F057C2" w:rsidRDefault="00BF6C30" w:rsidP="00BF6C30">
      <w:pPr>
        <w:spacing w:before="240" w:after="80" w:line="240" w:lineRule="auto"/>
        <w:rPr>
          <w:rFonts w:cs="Times New Roman"/>
          <w:b/>
          <w:sz w:val="24"/>
          <w:szCs w:val="24"/>
        </w:rPr>
      </w:pPr>
      <w:r w:rsidRPr="00F057C2">
        <w:rPr>
          <w:rFonts w:cs="Times New Roman"/>
          <w:b/>
          <w:sz w:val="24"/>
          <w:szCs w:val="24"/>
        </w:rPr>
        <w:lastRenderedPageBreak/>
        <w:t>Závěry vycházející ze SWOT analýzy pro aktualizaci strategické části:</w:t>
      </w:r>
    </w:p>
    <w:p w:rsidR="00237D26" w:rsidRDefault="00086487" w:rsidP="00086487">
      <w:pPr>
        <w:pStyle w:val="Odstavecseseznamem"/>
        <w:numPr>
          <w:ilvl w:val="0"/>
          <w:numId w:val="8"/>
        </w:numPr>
        <w:ind w:left="357" w:hanging="357"/>
      </w:pPr>
      <w:r>
        <w:t xml:space="preserve">Využít </w:t>
      </w:r>
      <w:r w:rsidR="00237D26">
        <w:t>osvědčující se didaktické formy (</w:t>
      </w:r>
      <w:r w:rsidR="00237D26" w:rsidRPr="00237D26">
        <w:t>projektová výuka, skupinové vyučování, používání technologií, exkurze, tandemová výuka, hra, výuka mimo škol</w:t>
      </w:r>
      <w:r w:rsidR="00237D26">
        <w:t>ní prostory, vrstevnické učení), využití inovativních metod.</w:t>
      </w:r>
    </w:p>
    <w:p w:rsidR="00237D26" w:rsidRDefault="00237D26" w:rsidP="00086487">
      <w:pPr>
        <w:pStyle w:val="Odstavecseseznamem"/>
        <w:numPr>
          <w:ilvl w:val="0"/>
          <w:numId w:val="8"/>
        </w:numPr>
        <w:ind w:left="357" w:hanging="357"/>
      </w:pPr>
      <w:r>
        <w:t>Využití moderních didaktických forem pro efektivnější práci s heterogenní skupinou žáků.</w:t>
      </w:r>
    </w:p>
    <w:p w:rsidR="00237D26" w:rsidRDefault="00237D26" w:rsidP="00086487">
      <w:pPr>
        <w:pStyle w:val="Odstavecseseznamem"/>
        <w:numPr>
          <w:ilvl w:val="0"/>
          <w:numId w:val="8"/>
        </w:numPr>
        <w:ind w:left="357" w:hanging="357"/>
      </w:pPr>
      <w:r>
        <w:t>Využití dostupné nabídky vzdělávání, inspirace a didaktických materiálů v rámci projektů.</w:t>
      </w:r>
    </w:p>
    <w:p w:rsidR="00237D26" w:rsidRDefault="00237D26" w:rsidP="00086487">
      <w:pPr>
        <w:pStyle w:val="Odstavecseseznamem"/>
        <w:numPr>
          <w:ilvl w:val="0"/>
          <w:numId w:val="8"/>
        </w:numPr>
        <w:ind w:left="357" w:hanging="357"/>
      </w:pPr>
      <w:r>
        <w:t>Realizovat dalšího vzdělávání pedagogických pracovníků v oblasti podpory klíčových kompetencí.</w:t>
      </w:r>
    </w:p>
    <w:p w:rsidR="00BF6C30" w:rsidRDefault="00086487" w:rsidP="00086487">
      <w:pPr>
        <w:pStyle w:val="Odstavecseseznamem"/>
        <w:numPr>
          <w:ilvl w:val="0"/>
          <w:numId w:val="8"/>
        </w:numPr>
        <w:ind w:left="357" w:hanging="357"/>
      </w:pPr>
      <w:r>
        <w:t>Podporovat rozvoj</w:t>
      </w:r>
      <w:r w:rsidR="00BF6C30">
        <w:t xml:space="preserve"> slovní zásoby a vyjadřovacích schopností dětí – potřeba sebehodnocení dětí.</w:t>
      </w:r>
    </w:p>
    <w:p w:rsidR="00237D26" w:rsidRDefault="00237D26" w:rsidP="00086487">
      <w:pPr>
        <w:pStyle w:val="Odstavecseseznamem"/>
        <w:numPr>
          <w:ilvl w:val="0"/>
          <w:numId w:val="8"/>
        </w:numPr>
        <w:ind w:left="357" w:hanging="357"/>
      </w:pPr>
      <w:r>
        <w:t>Rozvíjet wellbeing u pedagogického sboru i u dětí a žáků.</w:t>
      </w:r>
    </w:p>
    <w:p w:rsidR="00237D26" w:rsidRDefault="00BF6C30" w:rsidP="00086487">
      <w:pPr>
        <w:pStyle w:val="Odstavecseseznamem"/>
        <w:numPr>
          <w:ilvl w:val="0"/>
          <w:numId w:val="8"/>
        </w:numPr>
        <w:ind w:left="357" w:hanging="357"/>
      </w:pPr>
      <w:r>
        <w:t>Sdíle</w:t>
      </w:r>
      <w:r w:rsidR="00237D26">
        <w:t>t</w:t>
      </w:r>
      <w:r>
        <w:t xml:space="preserve"> inspirativní prax</w:t>
      </w:r>
      <w:r w:rsidR="00237D26">
        <w:t>i.</w:t>
      </w:r>
    </w:p>
    <w:p w:rsidR="00BF6C30" w:rsidRDefault="00BF6C30" w:rsidP="00086487">
      <w:pPr>
        <w:pStyle w:val="Odstavecseseznamem"/>
        <w:numPr>
          <w:ilvl w:val="0"/>
          <w:numId w:val="8"/>
        </w:numPr>
        <w:ind w:left="357" w:hanging="357"/>
      </w:pPr>
      <w:r>
        <w:t>P</w:t>
      </w:r>
      <w:r w:rsidRPr="00BD67B2">
        <w:t>odpor</w:t>
      </w:r>
      <w:r w:rsidR="00237D26">
        <w:t>ovat</w:t>
      </w:r>
      <w:r w:rsidRPr="00BD67B2">
        <w:t xml:space="preserve"> pedagogick</w:t>
      </w:r>
      <w:r w:rsidR="00237D26">
        <w:t>é</w:t>
      </w:r>
      <w:r w:rsidRPr="00BD67B2">
        <w:t xml:space="preserve"> pracovník</w:t>
      </w:r>
      <w:r w:rsidR="00237D26">
        <w:t>y</w:t>
      </w:r>
      <w:r w:rsidRPr="00BD67B2">
        <w:t xml:space="preserve"> ze strany vedení (náměty a techniky)</w:t>
      </w:r>
      <w:r w:rsidR="00237D26">
        <w:t>, nastavení jasné vize vedení, strategie a evaluace.</w:t>
      </w:r>
    </w:p>
    <w:p w:rsidR="00237D26" w:rsidRDefault="00237D26" w:rsidP="00086487">
      <w:pPr>
        <w:pStyle w:val="Odstavecseseznamem"/>
        <w:numPr>
          <w:ilvl w:val="0"/>
          <w:numId w:val="8"/>
        </w:numPr>
        <w:ind w:left="357" w:hanging="357"/>
      </w:pPr>
      <w:r>
        <w:t>Podpora kontinuálních programů a návazných aktivit, stabilní financování školství.</w:t>
      </w:r>
    </w:p>
    <w:p w:rsidR="00237D26" w:rsidRDefault="00237D26" w:rsidP="00237D26">
      <w:pPr>
        <w:spacing w:line="259" w:lineRule="auto"/>
      </w:pPr>
    </w:p>
    <w:p w:rsidR="00BF6C30" w:rsidRDefault="00BF6C30">
      <w:pPr>
        <w:spacing w:line="259" w:lineRule="auto"/>
        <w:jc w:val="left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br w:type="page"/>
      </w:r>
    </w:p>
    <w:p w:rsidR="00D3374A" w:rsidRPr="00BF6C30" w:rsidRDefault="00BF6C30" w:rsidP="00BF6C30">
      <w:pPr>
        <w:pBdr>
          <w:top w:val="single" w:sz="18" w:space="1" w:color="385623" w:themeColor="accent6" w:themeShade="80"/>
          <w:left w:val="single" w:sz="18" w:space="4" w:color="385623" w:themeColor="accent6" w:themeShade="80"/>
          <w:bottom w:val="single" w:sz="18" w:space="1" w:color="385623" w:themeColor="accent6" w:themeShade="80"/>
          <w:right w:val="single" w:sz="18" w:space="4" w:color="385623" w:themeColor="accent6" w:themeShade="80"/>
        </w:pBdr>
        <w:spacing w:before="120" w:after="120" w:line="240" w:lineRule="auto"/>
        <w:ind w:left="113" w:right="142"/>
        <w:rPr>
          <w:b/>
          <w:color w:val="00B050"/>
          <w:spacing w:val="-6"/>
          <w:sz w:val="28"/>
          <w:szCs w:val="28"/>
        </w:rPr>
      </w:pPr>
      <w:r w:rsidRPr="00BF6C30">
        <w:rPr>
          <w:b/>
          <w:color w:val="00B050"/>
          <w:spacing w:val="-6"/>
          <w:sz w:val="28"/>
          <w:szCs w:val="28"/>
        </w:rPr>
        <w:lastRenderedPageBreak/>
        <w:t>R</w:t>
      </w:r>
      <w:r w:rsidR="00D3374A" w:rsidRPr="00BF6C30">
        <w:rPr>
          <w:b/>
          <w:color w:val="00B050"/>
          <w:spacing w:val="-6"/>
          <w:sz w:val="28"/>
          <w:szCs w:val="28"/>
        </w:rPr>
        <w:t>ozvoj potenciálu každého žáka, zejména žáků se sociálním a jiným znevýhodněním</w:t>
      </w:r>
    </w:p>
    <w:tbl>
      <w:tblPr>
        <w:tblStyle w:val="Mkatabulky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3374A" w:rsidRPr="006F1360" w:rsidTr="006F1360">
        <w:trPr>
          <w:trHeight w:val="283"/>
        </w:trPr>
        <w:tc>
          <w:tcPr>
            <w:tcW w:w="4531" w:type="dxa"/>
            <w:vAlign w:val="center"/>
          </w:tcPr>
          <w:p w:rsidR="00D3374A" w:rsidRPr="00162B38" w:rsidRDefault="00D3374A" w:rsidP="006F1360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62B38">
              <w:rPr>
                <w:rFonts w:cs="Times New Roman"/>
                <w:b/>
                <w:bCs/>
                <w:sz w:val="20"/>
                <w:szCs w:val="20"/>
              </w:rPr>
              <w:t>S - Silné stránky</w:t>
            </w:r>
          </w:p>
        </w:tc>
        <w:tc>
          <w:tcPr>
            <w:tcW w:w="4531" w:type="dxa"/>
            <w:vAlign w:val="center"/>
          </w:tcPr>
          <w:p w:rsidR="00D3374A" w:rsidRPr="00162B38" w:rsidRDefault="00D3374A" w:rsidP="006F1360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62B38">
              <w:rPr>
                <w:rFonts w:cs="Times New Roman"/>
                <w:b/>
                <w:bCs/>
                <w:sz w:val="20"/>
                <w:szCs w:val="20"/>
              </w:rPr>
              <w:t>W - Slabé stránky</w:t>
            </w:r>
          </w:p>
        </w:tc>
      </w:tr>
      <w:tr w:rsidR="00D3374A" w:rsidRPr="00086487" w:rsidTr="006F1360">
        <w:trPr>
          <w:trHeight w:val="1701"/>
        </w:trPr>
        <w:tc>
          <w:tcPr>
            <w:tcW w:w="4531" w:type="dxa"/>
          </w:tcPr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Komunikace mezi šk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olou a rodiči, vnímání potřeb 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uplatnění v práci s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dětmi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Vyhodnocování v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hodných způsobů vedení výuky na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základě získaných zkušeností a zpětné vazby od dětí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Zapojení asistentů pedagoga ve školách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1874A1" w:rsidRPr="004B5262" w:rsidRDefault="001874A1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Existence a fungování MAP - jednání a setkávání v rámci MAP vytváří prostor pro rozvoj spolupráce a pomáhá rozšířit povědomí o reálných záměrech a potřebách.</w:t>
            </w:r>
          </w:p>
        </w:tc>
        <w:tc>
          <w:tcPr>
            <w:tcW w:w="4531" w:type="dxa"/>
          </w:tcPr>
          <w:p w:rsidR="00D272B0" w:rsidRPr="004B5262" w:rsidRDefault="00D272B0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Nárůst počtu žáků s r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izikovými projevy v chování a s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psychiatrickými diagnózami a absence jejich systémové podpory na 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podkladě spolupráce odborníků v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oblasti vzdělávací, sociální a zdravotní. </w:t>
            </w:r>
          </w:p>
          <w:p w:rsidR="005B22F5" w:rsidRPr="004B5262" w:rsidRDefault="005B22F5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Vzrůstající podíl žáků se speciálními vzdělávacími potřebami vzdělávaných v prostředí běžných škol.</w:t>
            </w:r>
          </w:p>
          <w:p w:rsidR="001874A1" w:rsidRPr="004B5262" w:rsidRDefault="001874A1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Problematická identifikace a práce s nadáním.</w:t>
            </w:r>
          </w:p>
          <w:p w:rsidR="00442166" w:rsidRPr="004B5262" w:rsidRDefault="00442166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Nedostatek odborníků a spec. </w:t>
            </w:r>
            <w:proofErr w:type="gram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pozic</w:t>
            </w:r>
            <w:proofErr w:type="gramEnd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ve školách (např. školní psycholog, spec. pedagog, soc. pedagog).</w:t>
            </w:r>
          </w:p>
          <w:p w:rsidR="001874A1" w:rsidRPr="004B5262" w:rsidRDefault="001874A1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Nesystémové financová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ní odborných pozic na školách 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něho pramenící nejistota v jejich udržení v dlouhodobém kontextu.</w:t>
            </w:r>
          </w:p>
          <w:p w:rsidR="00442166" w:rsidRPr="004B5262" w:rsidRDefault="00442166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Riziko syndromu vyhoření pedagogů v důsledku jejich dlouhodobě nízké systémové podpory a nízké míry využívání adekvátních mechanismů psychohygieny, nedostatečná péče o duševní zdraví dětí a žáků.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Velká část škol není bezbariérová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442166" w:rsidRPr="004B5262" w:rsidRDefault="00442166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kompetence pedagogických pracovníků pro práci s heterogenní skupinou.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Nízký stupeň vzdělání asistentů dětí </w:t>
            </w:r>
            <w:r w:rsidR="00442166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a žáků 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se SVP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272B0" w:rsidRPr="00086487" w:rsidRDefault="001874A1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086487">
              <w:rPr>
                <w:rFonts w:asciiTheme="majorHAnsi" w:hAnsiTheme="majorHAnsi" w:cstheme="majorHAnsi"/>
                <w:sz w:val="18"/>
                <w:szCs w:val="20"/>
              </w:rPr>
              <w:t>Nemožnost vhodné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ho přizpůsobení obsahu, formy a </w:t>
            </w:r>
            <w:r w:rsidRPr="00086487">
              <w:rPr>
                <w:rFonts w:asciiTheme="majorHAnsi" w:hAnsiTheme="majorHAnsi" w:cstheme="majorHAnsi"/>
                <w:sz w:val="18"/>
                <w:szCs w:val="20"/>
              </w:rPr>
              <w:t>metody výuky podle potřeb jednotlivých žáků kvůli vysokému počtu žáků ve třídě a jejich individuálním potřebám</w:t>
            </w:r>
            <w:r w:rsidR="00D272B0" w:rsidRPr="00086487">
              <w:rPr>
                <w:rFonts w:asciiTheme="majorHAnsi" w:hAnsiTheme="majorHAnsi" w:cstheme="majorHAnsi"/>
                <w:sz w:val="18"/>
                <w:szCs w:val="20"/>
              </w:rPr>
              <w:t>, nedostatečné množství pedagogických pracovníků.</w:t>
            </w:r>
          </w:p>
          <w:p w:rsidR="001874A1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Slabá podpora dětem a žákům se speciálními vzdělávacími potře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bami v prostředí běžných škol v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důsledku 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nárokovosti</w:t>
            </w:r>
            <w:proofErr w:type="spellEnd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podpůrných opatření. </w:t>
            </w:r>
          </w:p>
        </w:tc>
      </w:tr>
      <w:tr w:rsidR="00D3374A" w:rsidRPr="006F1360" w:rsidTr="006F1360">
        <w:trPr>
          <w:trHeight w:val="227"/>
        </w:trPr>
        <w:tc>
          <w:tcPr>
            <w:tcW w:w="4531" w:type="dxa"/>
            <w:vAlign w:val="center"/>
          </w:tcPr>
          <w:p w:rsidR="00D3374A" w:rsidRPr="00162B38" w:rsidRDefault="00D3374A" w:rsidP="006F1360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62B38">
              <w:rPr>
                <w:rFonts w:cs="Times New Roman"/>
                <w:b/>
                <w:bCs/>
                <w:sz w:val="20"/>
                <w:szCs w:val="20"/>
              </w:rPr>
              <w:t>O - příležitosti</w:t>
            </w:r>
          </w:p>
        </w:tc>
        <w:tc>
          <w:tcPr>
            <w:tcW w:w="4531" w:type="dxa"/>
            <w:vAlign w:val="center"/>
          </w:tcPr>
          <w:p w:rsidR="00D3374A" w:rsidRPr="00162B38" w:rsidRDefault="00D3374A" w:rsidP="006F1360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62B38">
              <w:rPr>
                <w:rFonts w:cs="Times New Roman"/>
                <w:b/>
                <w:bCs/>
                <w:sz w:val="20"/>
                <w:szCs w:val="20"/>
              </w:rPr>
              <w:t>T- Hrozby</w:t>
            </w:r>
          </w:p>
        </w:tc>
      </w:tr>
      <w:tr w:rsidR="00D3374A" w:rsidRPr="004B5262" w:rsidTr="006F1360">
        <w:trPr>
          <w:trHeight w:val="1701"/>
        </w:trPr>
        <w:tc>
          <w:tcPr>
            <w:tcW w:w="4531" w:type="dxa"/>
          </w:tcPr>
          <w:p w:rsidR="00AE6E95" w:rsidRPr="004B5262" w:rsidRDefault="00AE6E95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Pravidelný externí 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mentoring</w:t>
            </w:r>
            <w:proofErr w:type="spellEnd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pedagogického sboru, podpora wellbeingu učitelů.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Sdílení dobré praxe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Využití </w:t>
            </w:r>
            <w:r w:rsidR="001874A1" w:rsidRPr="004B5262">
              <w:rPr>
                <w:rFonts w:asciiTheme="majorHAnsi" w:hAnsiTheme="majorHAnsi" w:cstheme="majorHAnsi"/>
                <w:sz w:val="18"/>
                <w:szCs w:val="20"/>
              </w:rPr>
              <w:t>dostupných dotačních prostředků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A60E2E" w:rsidRPr="004B5262" w:rsidRDefault="00A60E2E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Podpora intervence psychoterapeutů (vysoká finanční náročnost placené služby, dotované možnosti mají velmi omezenou kapacitu – pracovníci nízkoprahových zařízení apod.).</w:t>
            </w:r>
          </w:p>
          <w:p w:rsidR="00D3374A" w:rsidRPr="004B5262" w:rsidRDefault="001874A1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Soustavná, dlouhodobá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 xml:space="preserve"> spolupráce mezi ZŠ a MŠ na </w:t>
            </w:r>
            <w:r w:rsidR="00D3374A" w:rsidRPr="004B5262">
              <w:rPr>
                <w:rFonts w:asciiTheme="majorHAnsi" w:hAnsiTheme="majorHAnsi" w:cstheme="majorHAnsi"/>
                <w:sz w:val="18"/>
                <w:szCs w:val="20"/>
              </w:rPr>
              <w:t>přípravě dětí na povinnou školní docházku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Rozvoj spolupráce mezi školami a poskytovateli sociálních služeb. </w:t>
            </w:r>
          </w:p>
          <w:p w:rsidR="00AE6E95" w:rsidRPr="004B5262" w:rsidRDefault="00AE6E95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Revize konceptu působení asistentů ve školách (např. oborové zaměření) a jejich systémové financování.</w:t>
            </w:r>
          </w:p>
          <w:p w:rsidR="00AE6E95" w:rsidRPr="004B5262" w:rsidRDefault="00AE6E95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rPr>
                <w:rFonts w:asciiTheme="majorHAnsi" w:hAnsiTheme="majorHAnsi" w:cstheme="majorHAnsi"/>
                <w:spacing w:val="-4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pacing w:val="-4"/>
                <w:sz w:val="18"/>
                <w:szCs w:val="20"/>
              </w:rPr>
              <w:t xml:space="preserve">Systémové změny – systémové financování spec. </w:t>
            </w:r>
            <w:proofErr w:type="gramStart"/>
            <w:r w:rsidRPr="004B5262">
              <w:rPr>
                <w:rFonts w:asciiTheme="majorHAnsi" w:hAnsiTheme="majorHAnsi" w:cstheme="majorHAnsi"/>
                <w:spacing w:val="-4"/>
                <w:sz w:val="18"/>
                <w:szCs w:val="20"/>
              </w:rPr>
              <w:t>pozic</w:t>
            </w:r>
            <w:proofErr w:type="gramEnd"/>
            <w:r w:rsidRPr="004B5262">
              <w:rPr>
                <w:rFonts w:asciiTheme="majorHAnsi" w:hAnsiTheme="majorHAnsi" w:cstheme="majorHAnsi"/>
                <w:spacing w:val="-4"/>
                <w:sz w:val="18"/>
                <w:szCs w:val="20"/>
              </w:rPr>
              <w:t xml:space="preserve"> ve školách (např. školní psycholog, spec. pedagog, soc. pedagog).</w:t>
            </w:r>
          </w:p>
          <w:p w:rsidR="00442166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Rozšiřování povědomí  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o inkluzivním vzdělávání jak na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školách, tak u širší veřejnosti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AE6E95" w:rsidRPr="004B5262" w:rsidRDefault="00AE6E95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Zjednodušení administrativy a snížení byrokratické zátěže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AE6E95" w:rsidRPr="004B5262" w:rsidRDefault="00AE6E95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Právní ochrana ped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agogů a vedení školy vzhledem k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někdy obtížné komunikaci s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rodiči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4531" w:type="dxa"/>
          </w:tcPr>
          <w:p w:rsidR="005B22F5" w:rsidRPr="004B5262" w:rsidRDefault="005B22F5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Problematická udržitelnost nastavených opatření v inkluzivním vzdělávání (v důsledku snížení PHmax)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a nesystémová finanční podpora ze strany státu na zajištění personálních nákladů na práci s dětmi se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SVP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5B22F5" w:rsidRPr="004B5262" w:rsidRDefault="005B22F5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Ztráta odborných pozic na školách v důsledku konce jejich financování (Šablony).</w:t>
            </w:r>
          </w:p>
          <w:p w:rsidR="005B22F5" w:rsidRPr="004B5262" w:rsidRDefault="005B22F5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kapacita v rámci povinných předškolních ročníků (přípravný ročník)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Technická nemožnost zajištění bezbariérovosti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Zvyšování míry frustrace a nebezpečí vzniku syndromu vyhoření u části pedagogů v důsledku nedostatečné systémové podpory a nevyužívání mechanismů psychohygieny</w:t>
            </w:r>
            <w:r w:rsidR="006F1360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Snížení podpory škol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 xml:space="preserve"> v důsledku ukončení projektů 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ukončení možnosti čerpání podpory prostřednictvím projektů zjednodušeného vykazování (šablon).</w:t>
            </w:r>
          </w:p>
          <w:p w:rsidR="005B22F5" w:rsidRPr="004B5262" w:rsidRDefault="005B22F5" w:rsidP="006F136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efektivita diagnostiky dětí a neefektivita podpůrných opatření.</w:t>
            </w:r>
          </w:p>
        </w:tc>
      </w:tr>
    </w:tbl>
    <w:p w:rsidR="005B22F5" w:rsidRPr="00FA2BFD" w:rsidRDefault="00A60E2E" w:rsidP="005B22F5">
      <w:pPr>
        <w:spacing w:before="240" w:after="8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Závěry</w:t>
      </w:r>
      <w:r w:rsidR="005B22F5" w:rsidRPr="00FA2BFD">
        <w:rPr>
          <w:rFonts w:cs="Times New Roman"/>
          <w:b/>
          <w:sz w:val="24"/>
          <w:szCs w:val="24"/>
        </w:rPr>
        <w:t xml:space="preserve"> vycházející ze SWOT analýzy</w:t>
      </w:r>
      <w:r>
        <w:rPr>
          <w:rFonts w:cs="Times New Roman"/>
          <w:b/>
          <w:sz w:val="24"/>
          <w:szCs w:val="24"/>
        </w:rPr>
        <w:t xml:space="preserve"> pro aktualizaci strategické části</w:t>
      </w:r>
      <w:r w:rsidR="005B22F5" w:rsidRPr="00FA2BFD">
        <w:rPr>
          <w:rFonts w:cs="Times New Roman"/>
          <w:b/>
          <w:sz w:val="24"/>
          <w:szCs w:val="24"/>
        </w:rPr>
        <w:t>:</w:t>
      </w:r>
    </w:p>
    <w:p w:rsidR="005B22F5" w:rsidRPr="00086487" w:rsidRDefault="005B22F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Školy umí komunikovat s dětmi, rodiči i pedagogy, vnímají jejich potřeby a systematicky rozvíjí školní kulturu, bezpečné a otevřené klima školy, pedagogové vytvářejí prostor k sebehodnocení dí</w:t>
      </w:r>
      <w:r w:rsidR="00086487">
        <w:t>těte a k </w:t>
      </w:r>
      <w:r w:rsidRPr="00086487">
        <w:t>rozvoji jeho motivace ke vzdělávání</w:t>
      </w:r>
      <w:r w:rsidR="00F13930" w:rsidRPr="00086487">
        <w:t xml:space="preserve">. </w:t>
      </w:r>
    </w:p>
    <w:p w:rsidR="005B22F5" w:rsidRPr="00086487" w:rsidRDefault="005B22F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Škol</w:t>
      </w:r>
      <w:r w:rsidR="005E7F61" w:rsidRPr="00086487">
        <w:t>y umožňují</w:t>
      </w:r>
      <w:r w:rsidRPr="00086487">
        <w:t xml:space="preserve"> pedagogům navázat vztahy s ostatními školami různých úrovní (společné diskuze, sdílení dobré praxe, akce pro jiné školy nebo s jinými školami apod.) a učitelé budou spolupracovat mezi sebou, budou se pravidelně scházet také s učiteli MŠ, tak aby byli schopni zajistit bezproblémový přechod dětí z předškolního do školního vzděláván</w:t>
      </w:r>
      <w:r w:rsidR="00086487">
        <w:t>í za účelem výměny zkušeností a </w:t>
      </w:r>
      <w:r w:rsidRPr="00086487">
        <w:t xml:space="preserve">dohody koordinovaného postupu v zájmu každého dítěte (např. učivo určené nadaným žákům je rozšiřováno a prohlubováno v souladu s jejich předpoklady, tvorba žákovských </w:t>
      </w:r>
      <w:proofErr w:type="spellStart"/>
      <w:r w:rsidRPr="00086487">
        <w:t>portfólií</w:t>
      </w:r>
      <w:proofErr w:type="spellEnd"/>
      <w:r w:rsidRPr="00086487">
        <w:t xml:space="preserve"> apod.)</w:t>
      </w:r>
      <w:r w:rsidR="00086487">
        <w:t>.</w:t>
      </w:r>
    </w:p>
    <w:p w:rsidR="005B22F5" w:rsidRPr="00086487" w:rsidRDefault="005B22F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Pedagogové jsou schopni vhodně přizpůsobit obsah výuky, upravit její formy a metody a nastavit různé úrovně obtížnosti v souladu se specifiky a potřebami dětí tak, aby bylo dosaženo a využito možností vzdělávaného dítěte</w:t>
      </w:r>
      <w:r w:rsidR="005E7F61" w:rsidRPr="00086487">
        <w:t>.</w:t>
      </w:r>
    </w:p>
    <w:p w:rsidR="005E7F61" w:rsidRPr="00086487" w:rsidRDefault="005E7F61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Pro realizaci inkluzivních principů ve vzdělávání je nutné zajištění klíčových podmínek, materiálně-technického vybavení, dostatek odborně vzdělaného personálu a stabilního financování.</w:t>
      </w:r>
    </w:p>
    <w:p w:rsidR="007C0491" w:rsidRPr="00086487" w:rsidRDefault="005B22F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Učitelé vnímají tvořivým způsobem rozdíly mezi žáky jako zdroj zkušeností a příležitost k vlastnímu seberozvoji</w:t>
      </w:r>
      <w:r w:rsidR="005E7F61" w:rsidRPr="00086487">
        <w:t>.</w:t>
      </w:r>
    </w:p>
    <w:p w:rsidR="00AA5D07" w:rsidRPr="00086487" w:rsidRDefault="00182870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Ve školách je identifikován v</w:t>
      </w:r>
      <w:r w:rsidR="00AA5D07" w:rsidRPr="00086487">
        <w:t xml:space="preserve">ysoký počet dětí/žáků na třídu a nedostatečné množství pedagogických pracovníků na jednu třídu s ohledem na nárůst počtu dětí/žáků se SVP, </w:t>
      </w:r>
      <w:r w:rsidR="00086487">
        <w:t>s rizikovými projevy v </w:t>
      </w:r>
      <w:r w:rsidR="00AA5D07" w:rsidRPr="00086487">
        <w:t xml:space="preserve">chování a s psychiatrickými diagnózami. </w:t>
      </w:r>
    </w:p>
    <w:p w:rsidR="007C0491" w:rsidRPr="00086487" w:rsidRDefault="00182870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Je vhodné se zaměřit na téma </w:t>
      </w:r>
      <w:r w:rsidR="007C0491" w:rsidRPr="00086487">
        <w:t>identifikac</w:t>
      </w:r>
      <w:r w:rsidRPr="00086487">
        <w:t>e</w:t>
      </w:r>
      <w:r w:rsidR="007C0491" w:rsidRPr="00086487">
        <w:t xml:space="preserve"> </w:t>
      </w:r>
      <w:r w:rsidRPr="00086487">
        <w:t>nadá</w:t>
      </w:r>
      <w:r w:rsidR="007C0491" w:rsidRPr="00086487">
        <w:t>ní.</w:t>
      </w:r>
    </w:p>
    <w:p w:rsidR="00AA5D07" w:rsidRPr="00086487" w:rsidRDefault="00182870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Zajistit</w:t>
      </w:r>
      <w:r w:rsidR="00AA5D07" w:rsidRPr="00086487">
        <w:t xml:space="preserve"> kvalitního personální obsazení potřebných pozic (např. psycholog, sociální pedagog atd.)</w:t>
      </w:r>
      <w:r w:rsidR="00086487">
        <w:t xml:space="preserve"> a </w:t>
      </w:r>
      <w:r w:rsidR="00AA5D07" w:rsidRPr="00086487">
        <w:t>jejich systémové</w:t>
      </w:r>
      <w:r w:rsidR="007C0491" w:rsidRPr="00086487">
        <w:t>ho financování, podpora intervence psychoterapeutů.</w:t>
      </w:r>
    </w:p>
    <w:p w:rsidR="00AA5D07" w:rsidRPr="00086487" w:rsidRDefault="00AA5D07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Potřeba DVPP/školení v moderních metodách inkluzivního vzdělávání a spolupráce s dalšími pedagogickými (asistent pedagoga, další pedagog) i nepedagogickými pracovníky (osobní asistent, logoped, tlumočník do českého znakového jazyka a další).</w:t>
      </w:r>
    </w:p>
    <w:p w:rsidR="007C0491" w:rsidRPr="00086487" w:rsidRDefault="007C0491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Osvěta a zvýšení informovanosti o přínosu inkluze, nutná osvěta rodičů.</w:t>
      </w:r>
    </w:p>
    <w:p w:rsidR="007C0491" w:rsidRPr="00086487" w:rsidRDefault="007C0491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Pravidelný externí </w:t>
      </w:r>
      <w:proofErr w:type="spellStart"/>
      <w:r w:rsidRPr="00086487">
        <w:t>mentoring</w:t>
      </w:r>
      <w:proofErr w:type="spellEnd"/>
      <w:r w:rsidRPr="00086487">
        <w:t xml:space="preserve"> </w:t>
      </w:r>
      <w:r w:rsidR="00182870" w:rsidRPr="00086487">
        <w:t>a supervize pedagogického sboru.</w:t>
      </w:r>
    </w:p>
    <w:p w:rsidR="00AA5D07" w:rsidRPr="00086487" w:rsidRDefault="007C0491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Podpora wellbeingu učitelů (měkké aktivity na podporu kultury a klimatu školy včetně investiční části ve smyslu vytváření příjemného pracovního prostředí např. dotační titul – sborovny).</w:t>
      </w:r>
    </w:p>
    <w:p w:rsidR="005D0589" w:rsidRPr="007C0491" w:rsidRDefault="005D0589" w:rsidP="007C049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rPr>
          <w:sz w:val="20"/>
          <w:szCs w:val="20"/>
        </w:rPr>
      </w:pPr>
      <w:r w:rsidRPr="007C0491">
        <w:rPr>
          <w:sz w:val="20"/>
          <w:szCs w:val="20"/>
        </w:rPr>
        <w:br w:type="page"/>
      </w:r>
    </w:p>
    <w:p w:rsidR="00D3374A" w:rsidRPr="00D252D8" w:rsidRDefault="00D3374A" w:rsidP="00BF6C30">
      <w:pPr>
        <w:pBdr>
          <w:top w:val="single" w:sz="18" w:space="1" w:color="385623" w:themeColor="accent6" w:themeShade="80"/>
          <w:left w:val="single" w:sz="18" w:space="4" w:color="385623" w:themeColor="accent6" w:themeShade="80"/>
          <w:bottom w:val="single" w:sz="18" w:space="1" w:color="385623" w:themeColor="accent6" w:themeShade="80"/>
          <w:right w:val="single" w:sz="18" w:space="4" w:color="385623" w:themeColor="accent6" w:themeShade="80"/>
        </w:pBdr>
        <w:spacing w:before="120" w:after="120" w:line="240" w:lineRule="auto"/>
        <w:ind w:left="113" w:right="142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>Podpora pedagogických a didaktických</w:t>
      </w:r>
      <w:r w:rsidRPr="00D252D8">
        <w:rPr>
          <w:b/>
          <w:color w:val="00B050"/>
          <w:sz w:val="28"/>
          <w:szCs w:val="28"/>
        </w:rPr>
        <w:t xml:space="preserve"> kompe</w:t>
      </w:r>
      <w:r>
        <w:rPr>
          <w:b/>
          <w:color w:val="00B050"/>
          <w:sz w:val="28"/>
          <w:szCs w:val="28"/>
        </w:rPr>
        <w:t>tencí pracovníků ve vzdělávání a</w:t>
      </w:r>
      <w:r w:rsidR="00BF6C30">
        <w:rPr>
          <w:b/>
          <w:color w:val="00B050"/>
          <w:sz w:val="28"/>
          <w:szCs w:val="28"/>
        </w:rPr>
        <w:t> </w:t>
      </w:r>
      <w:r>
        <w:rPr>
          <w:b/>
          <w:color w:val="00B050"/>
          <w:sz w:val="28"/>
          <w:szCs w:val="28"/>
        </w:rPr>
        <w:t>podpora managementu třídních kolektivů</w:t>
      </w:r>
    </w:p>
    <w:tbl>
      <w:tblPr>
        <w:tblStyle w:val="Mkatabulky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3374A" w:rsidRPr="006F1360" w:rsidTr="004B5262">
        <w:trPr>
          <w:trHeight w:val="283"/>
        </w:trPr>
        <w:tc>
          <w:tcPr>
            <w:tcW w:w="4531" w:type="dxa"/>
            <w:vAlign w:val="center"/>
          </w:tcPr>
          <w:p w:rsidR="00D3374A" w:rsidRPr="00B71D9F" w:rsidRDefault="00D3374A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71D9F">
              <w:rPr>
                <w:rFonts w:cs="Times New Roman"/>
                <w:b/>
                <w:bCs/>
                <w:sz w:val="20"/>
                <w:szCs w:val="20"/>
              </w:rPr>
              <w:t>S - Silné stránky</w:t>
            </w:r>
          </w:p>
        </w:tc>
        <w:tc>
          <w:tcPr>
            <w:tcW w:w="4531" w:type="dxa"/>
            <w:vAlign w:val="center"/>
          </w:tcPr>
          <w:p w:rsidR="00D3374A" w:rsidRPr="00B71D9F" w:rsidRDefault="00D3374A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71D9F">
              <w:rPr>
                <w:rFonts w:cs="Times New Roman"/>
                <w:b/>
                <w:bCs/>
                <w:sz w:val="20"/>
                <w:szCs w:val="20"/>
              </w:rPr>
              <w:t>W - Slabé stránky</w:t>
            </w:r>
          </w:p>
        </w:tc>
      </w:tr>
      <w:tr w:rsidR="00D3374A" w:rsidRPr="004B5262" w:rsidTr="004B5262">
        <w:tc>
          <w:tcPr>
            <w:tcW w:w="4531" w:type="dxa"/>
          </w:tcPr>
          <w:p w:rsidR="00D3374A" w:rsidRPr="004B5262" w:rsidRDefault="005D0589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Tradiční d</w:t>
            </w:r>
            <w:r w:rsidR="00D3374A" w:rsidRPr="004B5262">
              <w:rPr>
                <w:rFonts w:asciiTheme="majorHAnsi" w:hAnsiTheme="majorHAnsi" w:cstheme="majorHAnsi"/>
                <w:sz w:val="18"/>
                <w:szCs w:val="20"/>
              </w:rPr>
              <w:t>idaktické kompetence PP na vysoké úrovni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Možnost výběru z kvalifikovaných uchazečů (MŠ)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různých metod výuky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Kreativita a odvaha k</w:t>
            </w:r>
            <w:r w:rsidR="005D0589" w:rsidRPr="004B5262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experimentování</w:t>
            </w:r>
            <w:r w:rsidR="005D0589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(u pedagogických leaderů)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5D0589" w:rsidRPr="004B5262" w:rsidRDefault="005D0589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Zvyšující se dig</w:t>
            </w:r>
            <w:r w:rsidR="00241BEE">
              <w:rPr>
                <w:rFonts w:asciiTheme="majorHAnsi" w:hAnsiTheme="majorHAnsi" w:cstheme="majorHAnsi"/>
                <w:sz w:val="18"/>
                <w:szCs w:val="20"/>
              </w:rPr>
              <w:t>itální kompetence pracovníků ve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vzdělávání.</w:t>
            </w:r>
          </w:p>
        </w:tc>
        <w:tc>
          <w:tcPr>
            <w:tcW w:w="4531" w:type="dxa"/>
          </w:tcPr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kompetence pro identifikaci a práci s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="005D0589" w:rsidRPr="004B5262">
              <w:rPr>
                <w:rFonts w:asciiTheme="majorHAnsi" w:hAnsiTheme="majorHAnsi" w:cstheme="majorHAnsi"/>
                <w:sz w:val="18"/>
                <w:szCs w:val="20"/>
              </w:rPr>
              <w:t>nadáním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803E2" w:rsidRPr="004B5262" w:rsidRDefault="00D803E2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Nízká míra uplatňování strategií učení a individualizace výuky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803E2" w:rsidRPr="004B5262" w:rsidRDefault="00D803E2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Absence vize školy, ned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ostatečné strategické myšlení 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uvědomování si společných cílů všech pracovníků v komplexním procesu vzdělávání.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Neschopnost práce v týmu a pro tým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Nedostatek času pro zvyšování kompetencí vlivem administrativní zátěže a neustálých změn ve vzdělávacím systému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5D0589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</w:t>
            </w:r>
            <w:r w:rsidR="00D3374A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ezájem 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významné části PP </w:t>
            </w:r>
            <w:r w:rsidR="00D3374A" w:rsidRPr="004B5262">
              <w:rPr>
                <w:rFonts w:asciiTheme="majorHAnsi" w:hAnsiTheme="majorHAnsi" w:cstheme="majorHAnsi"/>
                <w:sz w:val="18"/>
                <w:szCs w:val="20"/>
              </w:rPr>
              <w:t>se vzdělávat a cokoliv měnit, neangažovanost na společném cíli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5D0589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Absence reflexe potřebné změny v přípravě</w:t>
            </w:r>
            <w:r w:rsidR="00D3374A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budoucí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ch absolventů PF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Kompetence vedení školy k řešení problémů, 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nepartnerský</w:t>
            </w:r>
            <w:proofErr w:type="spellEnd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přístup vedení škol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F057C2" w:rsidRPr="004B5262" w:rsidRDefault="00F057C2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Kumulace funkcí p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edagogů na místo dalších pozic (t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zn.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pedagog je zároveň výchovný poradce, metodik prevence, kariérový poradce)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5D0589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kompetence pro komunikaci (škola/rodiče)</w:t>
            </w:r>
          </w:p>
          <w:p w:rsidR="00ED1B1E" w:rsidRPr="004B5262" w:rsidRDefault="00ED1B1E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manažerské schopnosti vedení školy.</w:t>
            </w:r>
          </w:p>
          <w:p w:rsidR="00F057C2" w:rsidRPr="004B5262" w:rsidRDefault="00F057C2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Genderová nevyváženost pracovníků ve vzdělávání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F057C2" w:rsidRPr="004B5262" w:rsidRDefault="00F057C2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práce v tématu „Klima třídy, školy“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</w:tr>
      <w:tr w:rsidR="00D3374A" w:rsidRPr="00B71D9F" w:rsidTr="004B5262">
        <w:trPr>
          <w:trHeight w:val="283"/>
        </w:trPr>
        <w:tc>
          <w:tcPr>
            <w:tcW w:w="4531" w:type="dxa"/>
            <w:vAlign w:val="center"/>
          </w:tcPr>
          <w:p w:rsidR="00D3374A" w:rsidRPr="00B71D9F" w:rsidRDefault="00D3374A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71D9F">
              <w:rPr>
                <w:rFonts w:cs="Times New Roman"/>
                <w:b/>
                <w:bCs/>
                <w:sz w:val="20"/>
                <w:szCs w:val="20"/>
              </w:rPr>
              <w:t>O - příležitosti</w:t>
            </w:r>
          </w:p>
        </w:tc>
        <w:tc>
          <w:tcPr>
            <w:tcW w:w="4531" w:type="dxa"/>
            <w:vAlign w:val="center"/>
          </w:tcPr>
          <w:p w:rsidR="00D3374A" w:rsidRPr="00B71D9F" w:rsidRDefault="00D3374A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71D9F"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B71D9F">
              <w:rPr>
                <w:rFonts w:cs="Times New Roman"/>
                <w:b/>
                <w:bCs/>
                <w:sz w:val="20"/>
                <w:szCs w:val="20"/>
              </w:rPr>
              <w:t>- Hrozby</w:t>
            </w:r>
          </w:p>
        </w:tc>
      </w:tr>
      <w:tr w:rsidR="00D3374A" w:rsidRPr="004B5262" w:rsidTr="004B5262">
        <w:tc>
          <w:tcPr>
            <w:tcW w:w="4531" w:type="dxa"/>
          </w:tcPr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Existence Univerzity J. E. Purkyně a pedagogické fakulty</w:t>
            </w:r>
          </w:p>
          <w:p w:rsidR="00D3374A" w:rsidRPr="004B5262" w:rsidRDefault="00C45F48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nabídky</w:t>
            </w:r>
            <w:r w:rsidR="00D3374A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vzdělávacích aktivit a 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realizace DVPP (např. téma sebehodnocení dětí, komunikace)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C45F48" w:rsidRPr="004B5262" w:rsidRDefault="00C45F48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Tripartity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Možnost </w:t>
            </w:r>
            <w:r w:rsidR="00C166A6" w:rsidRPr="004B5262">
              <w:rPr>
                <w:rFonts w:asciiTheme="majorHAnsi" w:hAnsiTheme="majorHAnsi" w:cstheme="majorHAnsi"/>
                <w:sz w:val="18"/>
                <w:szCs w:val="20"/>
              </w:rPr>
              <w:t>kvalitní inspirace v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="00C166A6" w:rsidRPr="004B5262">
              <w:rPr>
                <w:rFonts w:asciiTheme="majorHAnsi" w:hAnsiTheme="majorHAnsi" w:cstheme="majorHAnsi"/>
                <w:sz w:val="18"/>
                <w:szCs w:val="20"/>
              </w:rPr>
              <w:t>zahraničí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Mentoři ve školách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Zaváděn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í a osvěta v oblasti wellbeingu.</w:t>
            </w:r>
          </w:p>
          <w:p w:rsidR="00C45F48" w:rsidRPr="004B5262" w:rsidRDefault="00C45F48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Zahrnout emoční učení součást přípravy pro PP.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Pozice uvádějícího učitele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Podpora nových pozic do škol – (např. absence pozice sociálního pedagoga v katalogu práce)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Zvýšení kompetencí pro práci s dětmi a žáky s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OMJ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Psychohygiena (pedagogové, žáci), koučování PP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Rozvoj kompetencí PP pro identifikaci a práci s</w:t>
            </w:r>
            <w:r w:rsidR="004B5262" w:rsidRPr="004B5262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nadanými</w:t>
            </w:r>
            <w:r w:rsidR="004B5262" w:rsidRPr="004B5262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C45F48" w:rsidRPr="004B5262" w:rsidRDefault="00C45F48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Podpora samosprávných celků ve školách.</w:t>
            </w:r>
          </w:p>
          <w:p w:rsidR="00C45F48" w:rsidRPr="004B5262" w:rsidRDefault="00C45F48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Podpora tématu sebehodnocení dětí (rozvoj slovní zásoby a vyjadřovacích schopností)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Vyjasnění role školy a definování, kam by mělo vzdělávání směřovat, ztotožnění se Strategií 2030+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Delegování kompetencí v rámci týmu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</w:t>
            </w:r>
            <w:r w:rsidR="00C45F48" w:rsidRPr="004B5262">
              <w:rPr>
                <w:rFonts w:asciiTheme="majorHAnsi" w:hAnsiTheme="majorHAnsi" w:cstheme="majorHAnsi"/>
                <w:sz w:val="18"/>
                <w:szCs w:val="20"/>
              </w:rPr>
              <w:t>dílení praxe a vzájemná výpomoc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Mnoho impulsů k rozvoji v rámci aktuálních témat (např. klima školy)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Multidisciplinární spolupráce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Zvýšení prestiže Univerzity a pedagogické fakulty (výuka odpovídající moderním metodám ve vzdělávání)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4531" w:type="dxa"/>
          </w:tcPr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Nevůle ke změnám na postech ředitelů i PP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Silná rezistence konzervativní skupiny učitelů, neochota k realizaci změn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Nekoncepční přístup MŠMT závisející na aktuální politické reprezentaci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Vyhoření pracovníků ve vzdělávání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Nedostatečné a nejisté finanční ohodnocení </w:t>
            </w:r>
            <w:r w:rsidR="00F057C2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odborných 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pozic (odliv kompetentních pracovníků)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D3374A" w:rsidRPr="004B5262" w:rsidRDefault="00D3374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16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podpora inovátorů a inspirátorů v některých školách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</w:tr>
    </w:tbl>
    <w:p w:rsidR="00F057C2" w:rsidRPr="00F057C2" w:rsidRDefault="00F057C2" w:rsidP="00F057C2">
      <w:pPr>
        <w:spacing w:before="240" w:after="80" w:line="240" w:lineRule="auto"/>
        <w:rPr>
          <w:rFonts w:cs="Times New Roman"/>
          <w:b/>
          <w:sz w:val="24"/>
          <w:szCs w:val="24"/>
        </w:rPr>
      </w:pPr>
      <w:r w:rsidRPr="00F057C2">
        <w:rPr>
          <w:rFonts w:cs="Times New Roman"/>
          <w:b/>
          <w:sz w:val="24"/>
          <w:szCs w:val="24"/>
        </w:rPr>
        <w:lastRenderedPageBreak/>
        <w:t>Závěry vycházející ze SWOT analýzy pro aktualizaci strategické části: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Tradiční didaktické kompetence pedagogických pracovníků jsou na vysoké úrovni.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Vhodná podpora dalšího vzdělávání pedagogů v této obla</w:t>
      </w:r>
      <w:r w:rsidR="00086487">
        <w:t>sti (např. téma psychohygieny a </w:t>
      </w:r>
      <w:r w:rsidRPr="00086487">
        <w:t>wellbeingu, komunikace, inovativních forem vzdělávání, sebehodnocení dětí, pedagogické kompetence pro práci s dětmi s OMJ, identifikace a práce s nadanými atd.), využití dostupné nabídky DVPP.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Osobnostní rozvoj pedagogických pracovníků.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Podpora kompetencí vedení školy – management třídních kolektivů.</w:t>
      </w:r>
    </w:p>
    <w:p w:rsidR="00F057C2" w:rsidRPr="00086487" w:rsidRDefault="00F057C2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Potřeba u</w:t>
      </w:r>
      <w:r w:rsidR="00D3374A" w:rsidRPr="00086487">
        <w:t>zákonění pedagogické pozice do katalogu práce – sociální pedagog,</w:t>
      </w:r>
      <w:r w:rsidR="00241BEE" w:rsidRPr="00086487">
        <w:t xml:space="preserve"> zvýšení finančního ohodnocení.</w:t>
      </w:r>
    </w:p>
    <w:p w:rsidR="00D3374A" w:rsidRPr="00086487" w:rsidRDefault="007E1476" w:rsidP="00086487">
      <w:pPr>
        <w:pStyle w:val="Odstavecseseznamem"/>
        <w:numPr>
          <w:ilvl w:val="0"/>
          <w:numId w:val="8"/>
        </w:numPr>
        <w:ind w:left="357" w:hanging="357"/>
      </w:pPr>
      <w:r>
        <w:t>Nutná r</w:t>
      </w:r>
      <w:r w:rsidR="00D3374A" w:rsidRPr="00086487">
        <w:t>ekonstrukce terciárního vzdělávání</w:t>
      </w:r>
      <w:r w:rsidR="00241BEE" w:rsidRPr="00086487">
        <w:t>.</w:t>
      </w:r>
      <w:bookmarkStart w:id="0" w:name="_GoBack"/>
      <w:bookmarkEnd w:id="0"/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Zahrnout emoční učení součást přípravy pro PP.</w:t>
      </w:r>
    </w:p>
    <w:p w:rsidR="00D3374A" w:rsidRPr="00086487" w:rsidRDefault="00D3374A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Zaměření výuky na více praktických dovedností v</w:t>
      </w:r>
      <w:r w:rsidR="00241BEE" w:rsidRPr="00086487">
        <w:t> </w:t>
      </w:r>
      <w:r w:rsidRPr="00086487">
        <w:t>pedagogice</w:t>
      </w:r>
      <w:r w:rsidR="00241BEE" w:rsidRPr="00086487">
        <w:t>.</w:t>
      </w:r>
    </w:p>
    <w:p w:rsidR="00D3374A" w:rsidRPr="00086487" w:rsidRDefault="00D3374A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Koučování a </w:t>
      </w:r>
      <w:proofErr w:type="spellStart"/>
      <w:r w:rsidRPr="00086487">
        <w:t>mentoring</w:t>
      </w:r>
      <w:proofErr w:type="spellEnd"/>
      <w:r w:rsidRPr="00086487">
        <w:t xml:space="preserve"> ve školách</w:t>
      </w:r>
      <w:r w:rsidR="00241BEE" w:rsidRPr="00086487">
        <w:t>, podpora pozice uvádějícího učitele.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Zlepšení komunikace mezi školkou a rodičem – tripartitní schůzky (vzdělání pedagogů, sdílení dobré praxe).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Sdílení inspirativní praxe.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Podporovat vytváření samosprávných celků ve školách.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Podpora pedagogických pracovníků ze strany vedení (náměty a techniky).</w:t>
      </w:r>
    </w:p>
    <w:p w:rsidR="00241BEE" w:rsidRPr="00086487" w:rsidRDefault="00241BEE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Vyjasnění role školy a definování, kam by mělo vzdělávání směřovat, ztotožnění se Strategií 2030+.</w:t>
      </w:r>
    </w:p>
    <w:p w:rsidR="00B82F7F" w:rsidRPr="007D6285" w:rsidRDefault="00D3374A" w:rsidP="00B82F7F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lang w:eastAsia="cs-CZ"/>
        </w:rPr>
        <w:br w:type="page"/>
      </w:r>
      <w:r w:rsidR="00B82F7F" w:rsidRPr="007D6285">
        <w:rPr>
          <w:b/>
          <w:sz w:val="28"/>
        </w:rPr>
        <w:lastRenderedPageBreak/>
        <w:t xml:space="preserve">SWOT-3 analýzy pro </w:t>
      </w:r>
      <w:r w:rsidR="00B82F7F">
        <w:rPr>
          <w:b/>
          <w:sz w:val="28"/>
        </w:rPr>
        <w:t>další témata</w:t>
      </w:r>
      <w:r w:rsidR="00B82F7F" w:rsidRPr="007D6285">
        <w:rPr>
          <w:b/>
          <w:sz w:val="28"/>
        </w:rPr>
        <w:t>:</w:t>
      </w:r>
    </w:p>
    <w:p w:rsidR="00B82F7F" w:rsidRPr="00B82F7F" w:rsidRDefault="00B82F7F" w:rsidP="00B82F7F">
      <w:pPr>
        <w:pBdr>
          <w:top w:val="single" w:sz="18" w:space="1" w:color="385623" w:themeColor="accent6" w:themeShade="80"/>
          <w:left w:val="single" w:sz="18" w:space="4" w:color="385623" w:themeColor="accent6" w:themeShade="80"/>
          <w:bottom w:val="single" w:sz="18" w:space="1" w:color="385623" w:themeColor="accent6" w:themeShade="80"/>
          <w:right w:val="single" w:sz="18" w:space="4" w:color="385623" w:themeColor="accent6" w:themeShade="80"/>
        </w:pBdr>
        <w:spacing w:before="120" w:after="120" w:line="240" w:lineRule="auto"/>
        <w:ind w:left="113" w:right="142"/>
        <w:jc w:val="center"/>
        <w:rPr>
          <w:b/>
          <w:color w:val="00B050"/>
          <w:sz w:val="28"/>
          <w:szCs w:val="28"/>
        </w:rPr>
      </w:pPr>
      <w:r w:rsidRPr="00B82F7F">
        <w:rPr>
          <w:b/>
          <w:color w:val="00B050"/>
          <w:sz w:val="28"/>
          <w:szCs w:val="28"/>
        </w:rPr>
        <w:t xml:space="preserve"> Podpora rozvoje čtenářské </w:t>
      </w:r>
      <w:r>
        <w:rPr>
          <w:b/>
          <w:color w:val="00B050"/>
          <w:sz w:val="28"/>
          <w:szCs w:val="28"/>
        </w:rPr>
        <w:t>(</w:t>
      </w:r>
      <w:proofErr w:type="spellStart"/>
      <w:r w:rsidRPr="00B82F7F">
        <w:rPr>
          <w:b/>
          <w:color w:val="00B050"/>
          <w:sz w:val="28"/>
          <w:szCs w:val="28"/>
        </w:rPr>
        <w:t>pre</w:t>
      </w:r>
      <w:proofErr w:type="spellEnd"/>
      <w:r>
        <w:rPr>
          <w:b/>
          <w:color w:val="00B050"/>
          <w:sz w:val="28"/>
          <w:szCs w:val="28"/>
        </w:rPr>
        <w:t>)</w:t>
      </w:r>
      <w:r w:rsidRPr="00B82F7F">
        <w:rPr>
          <w:b/>
          <w:color w:val="00B050"/>
          <w:sz w:val="28"/>
          <w:szCs w:val="28"/>
        </w:rPr>
        <w:t xml:space="preserve">gramotnosti </w:t>
      </w:r>
    </w:p>
    <w:tbl>
      <w:tblPr>
        <w:tblStyle w:val="Mkatabulky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89"/>
        <w:gridCol w:w="4573"/>
      </w:tblGrid>
      <w:tr w:rsidR="00B82F7F" w:rsidRPr="00FA2BFD" w:rsidTr="004B5262">
        <w:trPr>
          <w:trHeight w:val="283"/>
        </w:trPr>
        <w:tc>
          <w:tcPr>
            <w:tcW w:w="4489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S - Silné stránky</w:t>
            </w:r>
          </w:p>
        </w:tc>
        <w:tc>
          <w:tcPr>
            <w:tcW w:w="4573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W - Slabé stránky</w:t>
            </w:r>
          </w:p>
        </w:tc>
      </w:tr>
      <w:tr w:rsidR="00B82F7F" w:rsidRPr="004B5262" w:rsidTr="004B5262">
        <w:tc>
          <w:tcPr>
            <w:tcW w:w="4489" w:type="dxa"/>
          </w:tcPr>
          <w:p w:rsidR="00667C77" w:rsidRPr="00667C77" w:rsidRDefault="00667C77" w:rsidP="00667C77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Četba na školách</w:t>
            </w:r>
            <w:r w:rsidR="0008121F">
              <w:rPr>
                <w:rFonts w:asciiTheme="majorHAnsi" w:hAnsiTheme="majorHAnsi" w:cstheme="majorHAnsi"/>
                <w:sz w:val="18"/>
                <w:szCs w:val="20"/>
              </w:rPr>
              <w:t xml:space="preserve"> (tradice četby v MŠ</w:t>
            </w: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 xml:space="preserve">, </w:t>
            </w:r>
            <w:r w:rsidR="0008121F">
              <w:rPr>
                <w:rFonts w:asciiTheme="majorHAnsi" w:hAnsiTheme="majorHAnsi" w:cstheme="majorHAnsi"/>
                <w:sz w:val="18"/>
                <w:szCs w:val="20"/>
              </w:rPr>
              <w:t xml:space="preserve">v ZŠ v rámci výuky ČJ a práce se </w:t>
            </w: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čtenářský</w:t>
            </w:r>
            <w:r w:rsidR="0008121F">
              <w:rPr>
                <w:rFonts w:asciiTheme="majorHAnsi" w:hAnsiTheme="majorHAnsi" w:cstheme="majorHAnsi"/>
                <w:sz w:val="18"/>
                <w:szCs w:val="20"/>
              </w:rPr>
              <w:t>m</w:t>
            </w: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 xml:space="preserve"> deník</w:t>
            </w:r>
            <w:r w:rsidR="0008121F">
              <w:rPr>
                <w:rFonts w:asciiTheme="majorHAnsi" w:hAnsiTheme="majorHAnsi" w:cstheme="majorHAnsi"/>
                <w:sz w:val="18"/>
                <w:szCs w:val="20"/>
              </w:rPr>
              <w:t>em</w:t>
            </w: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667C77" w:rsidRPr="00667C77" w:rsidRDefault="00667C77" w:rsidP="00667C77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Spolupráce škol s místními knihovnami, provozování školních knihoven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667C77" w:rsidRPr="00667C77" w:rsidRDefault="00667C77" w:rsidP="00667C77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Školní vzdělávací programy (rozvoj čtenářské gramotnosti a řečových aktivit)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667C77" w:rsidRPr="00667C77" w:rsidRDefault="00667C77" w:rsidP="00667C77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Existence čtenářských dílen, dramatické výchovy, literárních a dramatických zájmových kroužků a dalších výchovně vzdělávacích forem podporujících čtenářskou gramotnost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667C77" w:rsidRDefault="00667C77" w:rsidP="00667C77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Komunikace mezi ZŠ a rodiči, vnímání potřeb a uplatnění v práci s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dětmi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 xml:space="preserve">, </w:t>
            </w:r>
            <w:r w:rsidR="009C5F84" w:rsidRPr="004B5262">
              <w:rPr>
                <w:rFonts w:asciiTheme="majorHAnsi" w:hAnsiTheme="majorHAnsi" w:cstheme="majorHAnsi"/>
                <w:sz w:val="18"/>
                <w:szCs w:val="20"/>
              </w:rPr>
              <w:t>motivace formou zvýhodněných nákupů literatury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08121F" w:rsidRPr="004B5262" w:rsidRDefault="0008121F" w:rsidP="0008121F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MŠ jsou zapojeny do kampaně „Česko čte dětem“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667C77" w:rsidP="00667C77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Vyhodnocování vhodných způ</w:t>
            </w:r>
            <w:r w:rsidR="00CD601F">
              <w:rPr>
                <w:rFonts w:asciiTheme="majorHAnsi" w:hAnsiTheme="majorHAnsi" w:cstheme="majorHAnsi"/>
                <w:sz w:val="18"/>
                <w:szCs w:val="20"/>
              </w:rPr>
              <w:t>sobů vedení výuky na </w:t>
            </w:r>
            <w:r w:rsidRPr="00667C77">
              <w:rPr>
                <w:rFonts w:asciiTheme="majorHAnsi" w:hAnsiTheme="majorHAnsi" w:cstheme="majorHAnsi"/>
                <w:sz w:val="18"/>
                <w:szCs w:val="20"/>
              </w:rPr>
              <w:t>základě získaných zkušeností a zpětné vazby od dětí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4573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využití dobré praxe pedagogů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Rodiče doma dětem nečtou a ke čtení je nevedou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Absence čtenářských kroužků na některých školách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vybavení aktuální literaturou, školy nemají čtečky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individuální podpora žáků s mimořádným zájmem o literaturu, tvůrčí psaní atd.</w:t>
            </w:r>
          </w:p>
          <w:p w:rsidR="00B82F7F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Nedostatečný rozvoj</w:t>
            </w:r>
            <w:r w:rsidR="00CD601F">
              <w:rPr>
                <w:rFonts w:asciiTheme="majorHAnsi" w:hAnsiTheme="majorHAnsi" w:cstheme="majorHAnsi"/>
                <w:sz w:val="18"/>
                <w:szCs w:val="20"/>
              </w:rPr>
              <w:t xml:space="preserve"> chápání kontextu, vyvozování 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formulace závěrů z textu, porovnávání zdrojů apod.</w:t>
            </w:r>
          </w:p>
          <w:p w:rsidR="0053372C" w:rsidRPr="004B5262" w:rsidRDefault="0053372C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Nedostatečná logopedická péče (v současnosti nedostatek logopedů).</w:t>
            </w:r>
          </w:p>
          <w:p w:rsidR="00B82F7F" w:rsidRPr="008F2403" w:rsidRDefault="00B82F7F" w:rsidP="008F2403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Nezájem dětí o klasickou četbu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</w:tr>
      <w:tr w:rsidR="00B82F7F" w:rsidRPr="00FA2BFD" w:rsidTr="004B5262">
        <w:trPr>
          <w:trHeight w:val="283"/>
        </w:trPr>
        <w:tc>
          <w:tcPr>
            <w:tcW w:w="4489" w:type="dxa"/>
            <w:vAlign w:val="center"/>
          </w:tcPr>
          <w:p w:rsidR="00B82F7F" w:rsidRPr="006C7ED9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C7ED9">
              <w:rPr>
                <w:rFonts w:cs="Times New Roman"/>
                <w:b/>
                <w:bCs/>
                <w:sz w:val="20"/>
                <w:szCs w:val="20"/>
              </w:rPr>
              <w:t>O – příležitosti</w:t>
            </w:r>
          </w:p>
        </w:tc>
        <w:tc>
          <w:tcPr>
            <w:tcW w:w="4573" w:type="dxa"/>
            <w:vAlign w:val="center"/>
          </w:tcPr>
          <w:p w:rsidR="00B82F7F" w:rsidRPr="006C7ED9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C7ED9">
              <w:rPr>
                <w:rFonts w:cs="Times New Roman"/>
                <w:b/>
                <w:bCs/>
                <w:sz w:val="20"/>
                <w:szCs w:val="20"/>
              </w:rPr>
              <w:t>T- Hrozby</w:t>
            </w:r>
          </w:p>
        </w:tc>
      </w:tr>
      <w:tr w:rsidR="00B82F7F" w:rsidRPr="004B5262" w:rsidTr="004B5262">
        <w:tc>
          <w:tcPr>
            <w:tcW w:w="4489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Spolupráce se Severočeskou vědeckou knihovnou v Ústí nad Labem – knihobudky</w:t>
            </w:r>
            <w:r w:rsidR="0053372C">
              <w:rPr>
                <w:rFonts w:asciiTheme="majorHAnsi" w:hAnsiTheme="majorHAnsi" w:cstheme="majorHAnsi"/>
                <w:sz w:val="18"/>
                <w:szCs w:val="20"/>
              </w:rPr>
              <w:t>, vytvoření databáze doporučené literatury.</w:t>
            </w:r>
          </w:p>
          <w:p w:rsidR="00B82F7F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Spolupráce </w:t>
            </w:r>
            <w:r w:rsidR="008F2403">
              <w:rPr>
                <w:rFonts w:asciiTheme="majorHAnsi" w:hAnsiTheme="majorHAnsi" w:cstheme="majorHAnsi"/>
                <w:sz w:val="18"/>
                <w:szCs w:val="20"/>
              </w:rPr>
              <w:t xml:space="preserve">MŠ 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se ZŠ v rámci čtení dětem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8F2403" w:rsidRPr="004B5262" w:rsidRDefault="008F2403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Rozvoj spolupráce mezi MŠ a ZŠ v rámci přípravy dětí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Realizace Čtenářských kroužků a dalších aktivit spojených se čtením s dětmi (nap</w:t>
            </w:r>
            <w:r w:rsidR="00CD601F">
              <w:rPr>
                <w:rFonts w:asciiTheme="majorHAnsi" w:hAnsiTheme="majorHAnsi" w:cstheme="majorHAnsi"/>
                <w:sz w:val="18"/>
                <w:szCs w:val="20"/>
              </w:rPr>
              <w:t>ř. Čtení babiček dětem, čtení s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rodiči apod.)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Burzy knih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Zvýšení informovanosti o nových knihách, autorech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Zapojení škol do projektů s tématikou rozvoje čtenářské </w:t>
            </w:r>
            <w:r w:rsidR="005261C5">
              <w:rPr>
                <w:rFonts w:asciiTheme="majorHAnsi" w:hAnsiTheme="majorHAnsi" w:cstheme="majorHAnsi"/>
                <w:sz w:val="18"/>
                <w:szCs w:val="20"/>
              </w:rPr>
              <w:t>(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pre</w:t>
            </w:r>
            <w:proofErr w:type="spellEnd"/>
            <w:r w:rsidR="005261C5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gramotnosti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5261C5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PEC databáze IK</w:t>
            </w:r>
            <w:r w:rsidR="005261C5">
              <w:rPr>
                <w:rFonts w:asciiTheme="majorHAnsi" w:hAnsiTheme="majorHAnsi" w:cstheme="majorHAnsi"/>
                <w:sz w:val="18"/>
                <w:szCs w:val="20"/>
              </w:rPr>
              <w:t>AP (web: nejlepsiknihydetem.cz)</w:t>
            </w:r>
          </w:p>
          <w:p w:rsidR="00B82F7F" w:rsidRPr="004B5262" w:rsidRDefault="005261C5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Podpora a v</w:t>
            </w:r>
            <w:r w:rsidR="00B82F7F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yužití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moderních didaktických forem</w:t>
            </w:r>
            <w:r w:rsidR="0053372C">
              <w:rPr>
                <w:rFonts w:asciiTheme="majorHAnsi" w:hAnsiTheme="majorHAnsi" w:cstheme="majorHAnsi"/>
                <w:sz w:val="18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inovativních metod, tandemové výuky.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Sdílení dobré i špatné praxe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lokální kulturní nabídky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Komunikace s rodiči, motivace formou zvýhodněných nákupů odpovídající literatury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8F2403" w:rsidRPr="004B5262" w:rsidRDefault="008F2403" w:rsidP="008F2403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Zvýšení zájmu rodičů o čtení s dětmi a práci s</w:t>
            </w:r>
            <w:r w:rsidR="00D6613C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knihou</w:t>
            </w:r>
            <w:r w:rsidR="00D6613C">
              <w:rPr>
                <w:rFonts w:asciiTheme="majorHAnsi" w:hAnsiTheme="majorHAnsi" w:cstheme="majorHAnsi"/>
                <w:sz w:val="18"/>
                <w:szCs w:val="20"/>
              </w:rPr>
              <w:t>, osvětová činnost (např. přednášky pro rodiče „Proč číst dětem?“).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Rozvoj ČG v rámci družin – čtení s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vychovatelem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086487" w:rsidRDefault="00B82F7F" w:rsidP="00086487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Zapojování škol do projektů s tématy rozvoje ČG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4573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Nedostatek finančních</w:t>
            </w:r>
            <w:r w:rsidR="00CD601F">
              <w:rPr>
                <w:rFonts w:asciiTheme="majorHAnsi" w:hAnsiTheme="majorHAnsi" w:cstheme="majorHAnsi"/>
                <w:sz w:val="18"/>
                <w:szCs w:val="20"/>
              </w:rPr>
              <w:t xml:space="preserve"> prostředků ze strany státu pro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rozvoj čtenářské </w:t>
            </w:r>
            <w:r w:rsidR="008F2403">
              <w:rPr>
                <w:rFonts w:asciiTheme="majorHAnsi" w:hAnsiTheme="majorHAnsi" w:cstheme="majorHAnsi"/>
                <w:sz w:val="18"/>
                <w:szCs w:val="20"/>
              </w:rPr>
              <w:t>(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pre</w:t>
            </w:r>
            <w:proofErr w:type="spellEnd"/>
            <w:r w:rsidR="008F2403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gramotnosti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Nedostatek pomůcek a metodiky pro rozvoj čtenářské pregramotnosti na trhu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Problematické zajištění personální podpory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kapacita knihoven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znalosti v práci s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textem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Nezájem rodičů a žáků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Hrozby spojené s udržitelností stavu a rozvoje ČG</w:t>
            </w:r>
            <w:r w:rsidR="009C5F84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</w:tr>
    </w:tbl>
    <w:p w:rsidR="008F2403" w:rsidRDefault="008F2403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8F2403" w:rsidRDefault="008F2403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A5030B" w:rsidRPr="00CC7D4A" w:rsidRDefault="007E546A" w:rsidP="00CC7D4A">
      <w:pPr>
        <w:spacing w:before="240" w:after="80" w:line="240" w:lineRule="auto"/>
        <w:rPr>
          <w:rFonts w:cs="Times New Roman"/>
          <w:b/>
          <w:sz w:val="24"/>
          <w:szCs w:val="24"/>
        </w:rPr>
      </w:pPr>
      <w:r w:rsidRPr="007E546A">
        <w:rPr>
          <w:rFonts w:cs="Times New Roman"/>
          <w:b/>
          <w:sz w:val="24"/>
          <w:szCs w:val="24"/>
        </w:rPr>
        <w:lastRenderedPageBreak/>
        <w:t>Závěry vycházející ze SWOT analýzy pro aktualizaci strategické části:</w:t>
      </w:r>
    </w:p>
    <w:p w:rsidR="00A5030B" w:rsidRPr="00086487" w:rsidRDefault="005261C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Školy</w:t>
      </w:r>
      <w:r w:rsidR="00A5030B" w:rsidRPr="00086487">
        <w:t xml:space="preserve"> podporují základní znalosti a dovednosti, prác</w:t>
      </w:r>
      <w:r w:rsidRPr="00086487">
        <w:t>i</w:t>
      </w:r>
      <w:r w:rsidR="00A5030B" w:rsidRPr="00086487">
        <w:t xml:space="preserve"> s textem od prostého porozumění textu k vyhledávání titulů v knihovně podle potřeb žáků apod., podpora rozvoje čtenářské (</w:t>
      </w:r>
      <w:proofErr w:type="spellStart"/>
      <w:r w:rsidR="00A5030B" w:rsidRPr="00086487">
        <w:t>pre</w:t>
      </w:r>
      <w:proofErr w:type="spellEnd"/>
      <w:r w:rsidR="00A5030B" w:rsidRPr="00086487">
        <w:t>)gramotnosti a řečových aktivit v rámci školních vzdělávacích programů (má stanoveny konkrétní cíle)</w:t>
      </w:r>
      <w:r w:rsidRPr="00086487">
        <w:t>.</w:t>
      </w:r>
    </w:p>
    <w:p w:rsidR="00A5030B" w:rsidRPr="00086487" w:rsidRDefault="00A5030B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Učitelé rozvíjejí své znalosti v oblasti čtenářské (</w:t>
      </w:r>
      <w:proofErr w:type="spellStart"/>
      <w:r w:rsidRPr="00086487">
        <w:t>pre</w:t>
      </w:r>
      <w:proofErr w:type="spellEnd"/>
      <w:r w:rsidRPr="00086487">
        <w:t>)gramotnosti a využívají je v práci s dětmi (kurzy dalšího vzdělávání, studium literatury aj.), učitelé využívají pozn</w:t>
      </w:r>
      <w:r w:rsidR="00CD601F">
        <w:t>atků v praxi a sdílejí dobrou i </w:t>
      </w:r>
      <w:r w:rsidRPr="00086487">
        <w:t>špatnou praxi v oblasti rozvoje čtenářské gramotnosti mezi sebou i s učiteli z jiných škol.</w:t>
      </w:r>
    </w:p>
    <w:p w:rsidR="005261C5" w:rsidRPr="00086487" w:rsidRDefault="005261C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V této oblasti je potřebná podpora vzdělávání v „moderních“ didaktických formách a zajištění dostatečné nabídky vhodných vzdělávacích aktivit (motivace a zvyšování kompetencí pedagogů), vzhledem k dynamickému </w:t>
      </w:r>
      <w:r w:rsidR="009812BB" w:rsidRPr="00086487">
        <w:t>vývoji školství pokračovat ve výše uvedeném sdílení dobré i špatné praxe.</w:t>
      </w:r>
    </w:p>
    <w:p w:rsidR="00CF5605" w:rsidRPr="00086487" w:rsidRDefault="00CF560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Osvědčuje se tandemové učení, práce ve skupinách – hledat cesty pro eliminaci dopadů aktuální změny PHmax.</w:t>
      </w:r>
    </w:p>
    <w:p w:rsidR="00A5030B" w:rsidRPr="00086487" w:rsidRDefault="005261C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Ačkoliv š</w:t>
      </w:r>
      <w:r w:rsidR="00A5030B" w:rsidRPr="00086487">
        <w:t xml:space="preserve">koly informují a </w:t>
      </w:r>
      <w:r w:rsidRPr="00086487">
        <w:t>vyvíjejí snahu o spolupráci</w:t>
      </w:r>
      <w:r w:rsidR="00A5030B" w:rsidRPr="00086487">
        <w:t xml:space="preserve"> v oblasti rozvoje čtenářství s rodiči (prezentace služeb knihovny, existence čtenářských kroužků, aktivit v oblasti čtení, čtenářského klubu – např. projektové dny, dny otevřených dveří, realizace autorských čtení, výstavy knih, vánoční trhy, zapojení rodičů do projektů typu „Česko čte dětem“ apod.)</w:t>
      </w:r>
      <w:r w:rsidR="00CF5605" w:rsidRPr="00086487">
        <w:t>. J</w:t>
      </w:r>
      <w:r w:rsidRPr="00086487">
        <w:t xml:space="preserve">e </w:t>
      </w:r>
      <w:r w:rsidR="00CF5605" w:rsidRPr="00086487">
        <w:t xml:space="preserve">proto </w:t>
      </w:r>
      <w:r w:rsidRPr="00086487">
        <w:t>vhodné dále zvyšovat zájem rodičů o čtení a práci s knihou, realizovat</w:t>
      </w:r>
      <w:r w:rsidRPr="005261C5">
        <w:t xml:space="preserve"> </w:t>
      </w:r>
      <w:r w:rsidRPr="00086487">
        <w:t>osvětovou činnost (např. přednášky pro rodiče „Proč číst dětem?“).</w:t>
      </w:r>
    </w:p>
    <w:p w:rsidR="00A5030B" w:rsidRPr="00086487" w:rsidRDefault="00A5030B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Ve školách jsou </w:t>
      </w:r>
      <w:r w:rsidR="009812BB" w:rsidRPr="00086487">
        <w:t xml:space="preserve">do jisté míry </w:t>
      </w:r>
      <w:r w:rsidRPr="00086487">
        <w:t>využívána interaktivní média, informační a komunikační technologie v oblasti rozvoje čtenářské gramotnosti, mateřské školy dis</w:t>
      </w:r>
      <w:r w:rsidR="00CD601F">
        <w:t>ponují dostatečným technickým a </w:t>
      </w:r>
      <w:r w:rsidRPr="00086487">
        <w:t>materiálním zabezpečením v oblasti čtenářské pregramotnosti.</w:t>
      </w:r>
    </w:p>
    <w:p w:rsidR="00CC7D4A" w:rsidRPr="00086487" w:rsidRDefault="009812BB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Školy</w:t>
      </w:r>
      <w:r w:rsidR="00CC7D4A" w:rsidRPr="00086487">
        <w:t xml:space="preserve"> spolupracují s kulturními organizacemi, knihovnami a jsou v nich realizovány akce na podporu čtenářské pregramotnosti a zvýšení motivace ke čtenářství (např. výstavy dětských knih, knižních ilustrací, malování děje pohádkových příběhů, hry na postavy z kin apod.)</w:t>
      </w:r>
      <w:r w:rsidR="00CD601F">
        <w:t>. Školy by uvítaly např. ze </w:t>
      </w:r>
      <w:r w:rsidR="00CF5605" w:rsidRPr="00086487">
        <w:t>strany knihovny vytvoření databáze doporučené literatury pro žáky 2. stupně (gender četba, témata pro období puberty apod.).</w:t>
      </w:r>
    </w:p>
    <w:p w:rsidR="00CF5605" w:rsidRPr="00086487" w:rsidRDefault="00CF560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Zajištění dostatečné logopedické péče.</w:t>
      </w:r>
    </w:p>
    <w:p w:rsidR="00CC7D4A" w:rsidRPr="00086487" w:rsidRDefault="00CC7D4A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Školy </w:t>
      </w:r>
      <w:r w:rsidR="00CF5605" w:rsidRPr="00086487">
        <w:t>se snaží udržovat knižní fond aktuální – vhodná je da</w:t>
      </w:r>
      <w:r w:rsidR="00CD601F">
        <w:t>lší podpora školních knihoven a </w:t>
      </w:r>
      <w:r w:rsidR="00CF5605" w:rsidRPr="00086487">
        <w:t>knihobudek (např. finanční podpora na obnovu a nákup knih)</w:t>
      </w:r>
      <w:r w:rsidRPr="00086487">
        <w:t>, multimédia pro rozvoj čtenářské gramotnosti.</w:t>
      </w:r>
    </w:p>
    <w:p w:rsidR="00CF5605" w:rsidRPr="00086487" w:rsidRDefault="00CF560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Potřeba systémového financování osvědčených aktivit.</w:t>
      </w:r>
    </w:p>
    <w:p w:rsidR="0053372C" w:rsidRDefault="0053372C" w:rsidP="00A5030B">
      <w:pPr>
        <w:spacing w:line="240" w:lineRule="auto"/>
        <w:rPr>
          <w:rFonts w:cs="Times New Roman"/>
          <w:b/>
          <w:sz w:val="20"/>
          <w:szCs w:val="20"/>
        </w:rPr>
      </w:pPr>
    </w:p>
    <w:p w:rsidR="0053372C" w:rsidRDefault="0053372C">
      <w:pPr>
        <w:spacing w:line="259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B82F7F" w:rsidRPr="00B82F7F" w:rsidRDefault="00CD601F" w:rsidP="00B82F7F">
      <w:pPr>
        <w:pBdr>
          <w:top w:val="single" w:sz="18" w:space="1" w:color="385623" w:themeColor="accent6" w:themeShade="80"/>
          <w:left w:val="single" w:sz="18" w:space="4" w:color="385623" w:themeColor="accent6" w:themeShade="80"/>
          <w:bottom w:val="single" w:sz="18" w:space="1" w:color="385623" w:themeColor="accent6" w:themeShade="80"/>
          <w:right w:val="single" w:sz="18" w:space="4" w:color="385623" w:themeColor="accent6" w:themeShade="80"/>
        </w:pBdr>
        <w:spacing w:before="120" w:after="120" w:line="240" w:lineRule="auto"/>
        <w:ind w:left="113" w:right="142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 xml:space="preserve">Podpora </w:t>
      </w:r>
      <w:r w:rsidR="00B82F7F" w:rsidRPr="00B82F7F">
        <w:rPr>
          <w:b/>
          <w:color w:val="00B050"/>
          <w:sz w:val="28"/>
          <w:szCs w:val="28"/>
        </w:rPr>
        <w:t>rozvoj</w:t>
      </w:r>
      <w:r>
        <w:rPr>
          <w:b/>
          <w:color w:val="00B050"/>
          <w:sz w:val="28"/>
          <w:szCs w:val="28"/>
        </w:rPr>
        <w:t>e</w:t>
      </w:r>
      <w:r w:rsidR="00B82F7F" w:rsidRPr="00B82F7F">
        <w:rPr>
          <w:b/>
          <w:color w:val="00B050"/>
          <w:sz w:val="28"/>
          <w:szCs w:val="28"/>
        </w:rPr>
        <w:t xml:space="preserve"> matematické </w:t>
      </w:r>
      <w:r w:rsidR="00B82F7F">
        <w:rPr>
          <w:b/>
          <w:color w:val="00B050"/>
          <w:sz w:val="28"/>
          <w:szCs w:val="28"/>
        </w:rPr>
        <w:t>(</w:t>
      </w:r>
      <w:proofErr w:type="spellStart"/>
      <w:r w:rsidR="00B82F7F" w:rsidRPr="00B82F7F">
        <w:rPr>
          <w:b/>
          <w:color w:val="00B050"/>
          <w:sz w:val="28"/>
          <w:szCs w:val="28"/>
        </w:rPr>
        <w:t>pre</w:t>
      </w:r>
      <w:proofErr w:type="spellEnd"/>
      <w:r w:rsidR="00B82F7F">
        <w:rPr>
          <w:b/>
          <w:color w:val="00B050"/>
          <w:sz w:val="28"/>
          <w:szCs w:val="28"/>
        </w:rPr>
        <w:t>)</w:t>
      </w:r>
      <w:r w:rsidR="00B82F7F" w:rsidRPr="00B82F7F">
        <w:rPr>
          <w:b/>
          <w:color w:val="00B050"/>
          <w:sz w:val="28"/>
          <w:szCs w:val="28"/>
        </w:rPr>
        <w:t>gramotnosti</w:t>
      </w:r>
    </w:p>
    <w:tbl>
      <w:tblPr>
        <w:tblStyle w:val="Mkatabulky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9"/>
        <w:gridCol w:w="4523"/>
      </w:tblGrid>
      <w:tr w:rsidR="00B82F7F" w:rsidRPr="00FA2BFD" w:rsidTr="004B5262">
        <w:trPr>
          <w:trHeight w:val="283"/>
        </w:trPr>
        <w:tc>
          <w:tcPr>
            <w:tcW w:w="4539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S - Silné stránky</w:t>
            </w:r>
          </w:p>
        </w:tc>
        <w:tc>
          <w:tcPr>
            <w:tcW w:w="4523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W - Slabé stránky</w:t>
            </w:r>
          </w:p>
        </w:tc>
      </w:tr>
      <w:tr w:rsidR="00B82F7F" w:rsidRPr="004B5262" w:rsidTr="004B5262">
        <w:tc>
          <w:tcPr>
            <w:tcW w:w="4539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Přirozený zájem dětí o matematické úlohy a zvídavost v předškolním věku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Uplatnitelnost matematické pregramotnosti ve všech oblastech vyučování v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MŠ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Snaha a kreativita pedagogů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Zapojení škol do matematických soutěží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Existence metodických sdružení na 1. stupni ZŠ, předmětových komisí na 2. stupni ZŠ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Připravenost žáků na přijímací zkoušky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Realizace speciálních hodin pro nadané žáky a využívání dalších metod výuky (např. metoda Hejného)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4523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Nedostatečný </w:t>
            </w:r>
            <w:r w:rsidR="00086487">
              <w:rPr>
                <w:rFonts w:asciiTheme="majorHAnsi" w:hAnsiTheme="majorHAnsi" w:cstheme="majorHAnsi"/>
                <w:sz w:val="18"/>
                <w:szCs w:val="20"/>
              </w:rPr>
              <w:t>rozvoj matematického myšlení na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příkladech z běžného života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Nedostatek času a možností pro práci s nadanými dětmi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podpora akcí pro žáky na podporu matematické gramotnosti a zvýšení motivace mimo výuku (projektových aktivit)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Nedostatečně řešena forma a metody výuky s ohledem na rozdílné potřeby žáků včetně práce s žáky s mimořádným zájmem o matematiku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Nevyvinutý 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mentoring</w:t>
            </w:r>
            <w:proofErr w:type="spellEnd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v rámci matematické gramotnosti – chybí kreativita vyučujících (stereotypní nudná výuka)</w:t>
            </w:r>
            <w:r w:rsidR="00E07FF9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Málo kvalitních pedagogů v území, kteří učí matematiku</w:t>
            </w:r>
            <w:r w:rsidR="00E07FF9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E07FF9" w:rsidRPr="00E07FF9" w:rsidRDefault="00E07FF9" w:rsidP="00E07FF9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spolupráce a výměna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zkušeností mezi jednotlivými školami.</w:t>
            </w:r>
          </w:p>
        </w:tc>
      </w:tr>
      <w:tr w:rsidR="00B82F7F" w:rsidRPr="00FA2BFD" w:rsidTr="004B5262">
        <w:trPr>
          <w:trHeight w:val="283"/>
        </w:trPr>
        <w:tc>
          <w:tcPr>
            <w:tcW w:w="4539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O – Příležitosti</w:t>
            </w:r>
          </w:p>
        </w:tc>
        <w:tc>
          <w:tcPr>
            <w:tcW w:w="4523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T- Hrozby</w:t>
            </w:r>
          </w:p>
        </w:tc>
      </w:tr>
      <w:tr w:rsidR="00B82F7F" w:rsidRPr="004B5262" w:rsidTr="004B5262">
        <w:tc>
          <w:tcPr>
            <w:tcW w:w="4539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zvídavosti a zájmu dětí v oblasti matematické pregramotnosti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Matematické hry a hry rozvíjející logické myšlení, spolupráce se ZŠ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Aktivní motivace rodičů k činnosti s dětmi (konkrétní náměty pro aktivity s dětmi v domácím prostředí ze strany školky)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inovativních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 xml:space="preserve"> a alternativních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metod a přístupů (nap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 xml:space="preserve">ř. Špinavá matematika, MESIMATH, propojování předmětů, </w:t>
            </w:r>
            <w:r w:rsidR="00093615" w:rsidRPr="004B5262">
              <w:rPr>
                <w:rFonts w:asciiTheme="majorHAnsi" w:hAnsiTheme="majorHAnsi" w:cstheme="majorHAnsi"/>
                <w:sz w:val="18"/>
                <w:szCs w:val="20"/>
              </w:rPr>
              <w:t>zvyšování všeobecné gramotnosti, zvyšování kreativity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Využívání projektů a DVPP v rámci rozvoje matematické pregramotnosti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Zlepšení vzájemné spolupráce a výměny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 xml:space="preserve"> zkušeností mezi jednotlivými školami (i mezi stupni vzdělávání – mezi MŠ a ZŠ a SŠ, </w:t>
            </w:r>
            <w:r w:rsidR="00093615" w:rsidRPr="004B5262">
              <w:rPr>
                <w:rFonts w:asciiTheme="majorHAnsi" w:hAnsiTheme="majorHAnsi" w:cstheme="majorHAnsi"/>
                <w:sz w:val="18"/>
                <w:szCs w:val="20"/>
              </w:rPr>
              <w:t>mezi 1. a 2. stupněm ZŠ v oblasti přípravy dětí a žáků, resp. výuky k matematické gramotnosti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), sdílení dobré i špatné praxe.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Podpora matematického myšlení u žáků ve školách (příklady k řešení a pochopení každodenních situací, situací spojených s budoucí profesí nebo k objasnění přírodních zákonů)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CF5605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Inovace v matematice – nové postupy</w:t>
            </w:r>
            <w:r w:rsidR="00CF5605">
              <w:rPr>
                <w:rFonts w:asciiTheme="majorHAnsi" w:hAnsiTheme="majorHAnsi" w:cstheme="majorHAnsi"/>
                <w:sz w:val="18"/>
                <w:szCs w:val="20"/>
              </w:rPr>
              <w:t>, DVPP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, rozvoj kontaktů pro sdílení dobré praxe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CF5605" w:rsidP="00CF5605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Rozvoj spolupráce ZŠ a UJEP - zlepšení přípravy budoucích učitelů matematiky, naplňování relevantních požadavků z praxe.</w:t>
            </w:r>
          </w:p>
        </w:tc>
        <w:tc>
          <w:tcPr>
            <w:tcW w:w="4523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Nedostatek státních finančních prostředků na rozvoj matematické 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(</w:t>
            </w:r>
            <w:proofErr w:type="spellStart"/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pre</w:t>
            </w:r>
            <w:proofErr w:type="spellEnd"/>
            <w:r w:rsidR="00093615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gramotnosti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Nízké povědomí o možnostech využití pomůcek pro rozvoj matematické pregramotnosti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Chybějící výběr metodiky pro rozvoj matematické pregramotnosti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kompetence žáků k výkonu zaměstnání (s ohledem na příchod průmyslové revoluce 4.0)/fungování v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praxi</w:t>
            </w:r>
            <w:r w:rsidR="00093615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Nedostatečné kvalitní personální zajištění rozvoje matematické gramotnosti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spolupráce s katedrou matematiky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</w:tr>
    </w:tbl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7E546A" w:rsidRPr="007E546A" w:rsidRDefault="007E546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  <w:r w:rsidRPr="007E546A">
        <w:rPr>
          <w:rFonts w:cs="Times New Roman"/>
          <w:b/>
          <w:sz w:val="24"/>
          <w:szCs w:val="24"/>
        </w:rPr>
        <w:lastRenderedPageBreak/>
        <w:t>Závěry vycházející ze SWOT analýzy pro aktualizaci strategické části:</w:t>
      </w:r>
    </w:p>
    <w:p w:rsidR="00B82F7F" w:rsidRPr="00086487" w:rsidRDefault="00557AF8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Potřebná podpora DVPP </w:t>
      </w:r>
      <w:r w:rsidR="00B82F7F" w:rsidRPr="00086487">
        <w:t>v</w:t>
      </w:r>
      <w:r w:rsidRPr="00086487">
        <w:t> oblasti moderních metod</w:t>
      </w:r>
      <w:r w:rsidR="00B82F7F" w:rsidRPr="00086487">
        <w:t xml:space="preserve"> výuky matematické gramotnosti a </w:t>
      </w:r>
      <w:r w:rsidRPr="00086487">
        <w:t>přenesení získaných poznatků do praxe</w:t>
      </w:r>
      <w:r w:rsidR="00B82F7F" w:rsidRPr="00086487">
        <w:t xml:space="preserve"> (kurzy dalšího vzdělávání, studium pravidelně nakupované aktuální literatury, využití multimédií</w:t>
      </w:r>
      <w:r w:rsidR="00D62463" w:rsidRPr="00086487">
        <w:t>,</w:t>
      </w:r>
      <w:r w:rsidR="00B82F7F" w:rsidRPr="00086487">
        <w:t xml:space="preserve"> aj.), </w:t>
      </w:r>
      <w:r w:rsidRPr="00086487">
        <w:t>sdílení dobré</w:t>
      </w:r>
      <w:r w:rsidR="00181C78" w:rsidRPr="00086487">
        <w:t xml:space="preserve"> praxe</w:t>
      </w:r>
      <w:r w:rsidR="00B82F7F" w:rsidRPr="00086487">
        <w:t xml:space="preserve"> v oblasti rozvoje matematické gramotnosti mezi sebou i s učiteli z jiných škol, </w:t>
      </w:r>
      <w:r w:rsidR="00181C78" w:rsidRPr="00086487">
        <w:t>sdílení v rámci předmětových komisí</w:t>
      </w:r>
      <w:r w:rsidR="00CD601F">
        <w:t>, vzájemná inspirace pro </w:t>
      </w:r>
      <w:r w:rsidR="00D62463" w:rsidRPr="00086487">
        <w:t>zvýšení kreativity učitelů</w:t>
      </w:r>
      <w:r w:rsidR="00890965" w:rsidRPr="00086487">
        <w:t xml:space="preserve"> a zvýšení míry využití inovativních a alternativních metod.</w:t>
      </w:r>
    </w:p>
    <w:p w:rsidR="00CC7D4A" w:rsidRPr="00086487" w:rsidRDefault="00CC7D4A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Učitelé potřebují dostatečný prostor a personální kapacitu pro zajištění individuální podpory dětí s mimořádným zájmem o počítání a logiku</w:t>
      </w:r>
      <w:r w:rsidR="00557AF8" w:rsidRPr="00086487">
        <w:t>.</w:t>
      </w:r>
    </w:p>
    <w:p w:rsidR="00B82F7F" w:rsidRPr="00086487" w:rsidRDefault="00181C78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Podpora m</w:t>
      </w:r>
      <w:r w:rsidR="00B82F7F" w:rsidRPr="00086487">
        <w:t>imo</w:t>
      </w:r>
      <w:r w:rsidRPr="00086487">
        <w:t xml:space="preserve"> výukových</w:t>
      </w:r>
      <w:r w:rsidR="00B82F7F" w:rsidRPr="00086487">
        <w:t xml:space="preserve"> akc</w:t>
      </w:r>
      <w:r w:rsidRPr="00086487">
        <w:t>í</w:t>
      </w:r>
      <w:r w:rsidR="00B82F7F" w:rsidRPr="00086487">
        <w:t xml:space="preserve"> pro žáky na podporu matematické gramotnosti a zvýšení motivace (např. projektové dny apod.)</w:t>
      </w:r>
      <w:r w:rsidR="00557AF8" w:rsidRPr="00086487">
        <w:t>.</w:t>
      </w:r>
    </w:p>
    <w:p w:rsidR="00CC7D4A" w:rsidRPr="00086487" w:rsidRDefault="00181C78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S</w:t>
      </w:r>
      <w:r w:rsidR="00CC7D4A" w:rsidRPr="00086487">
        <w:t>ystematick</w:t>
      </w:r>
      <w:r w:rsidRPr="00086487">
        <w:t>ý rozvoj</w:t>
      </w:r>
      <w:r w:rsidR="00CC7D4A" w:rsidRPr="00086487">
        <w:t xml:space="preserve"> matematické</w:t>
      </w:r>
      <w:r w:rsidRPr="00086487">
        <w:t>ho</w:t>
      </w:r>
      <w:r w:rsidR="00CC7D4A" w:rsidRPr="00086487">
        <w:t xml:space="preserve"> myšlení (využívání příkladů k řešení a pochopení každodenních situací, návštěva science center apod.)</w:t>
      </w:r>
      <w:r w:rsidR="00557AF8" w:rsidRPr="00086487">
        <w:t>.</w:t>
      </w:r>
    </w:p>
    <w:p w:rsidR="00B82F7F" w:rsidRPr="00086487" w:rsidRDefault="008F338F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Zajištění </w:t>
      </w:r>
      <w:r w:rsidR="00B82F7F" w:rsidRPr="00086487">
        <w:t>dostatečn</w:t>
      </w:r>
      <w:r w:rsidRPr="00086487">
        <w:t>ého</w:t>
      </w:r>
      <w:r w:rsidR="00B82F7F" w:rsidRPr="00086487">
        <w:t xml:space="preserve"> technick</w:t>
      </w:r>
      <w:r w:rsidRPr="00086487">
        <w:t>ého</w:t>
      </w:r>
      <w:r w:rsidR="00B82F7F" w:rsidRPr="00086487">
        <w:t xml:space="preserve"> a materiální</w:t>
      </w:r>
      <w:r w:rsidRPr="00086487">
        <w:t>ho zabezpečení</w:t>
      </w:r>
      <w:r w:rsidR="00B82F7F" w:rsidRPr="00086487">
        <w:t xml:space="preserve"> pro rozvoj matematické gramotnosti</w:t>
      </w:r>
      <w:r w:rsidRPr="00086487">
        <w:t>, efektivní využívání</w:t>
      </w:r>
      <w:r w:rsidR="00B82F7F" w:rsidRPr="00086487">
        <w:t xml:space="preserve"> interaktivní</w:t>
      </w:r>
      <w:r w:rsidRPr="00086487">
        <w:t>ch médií</w:t>
      </w:r>
      <w:r w:rsidR="00B82F7F" w:rsidRPr="00086487">
        <w:t>, informační</w:t>
      </w:r>
      <w:r w:rsidRPr="00086487">
        <w:t>ch</w:t>
      </w:r>
      <w:r w:rsidR="00B82F7F" w:rsidRPr="00086487">
        <w:t xml:space="preserve"> a komunikační</w:t>
      </w:r>
      <w:r w:rsidRPr="00086487">
        <w:t>ch technologií</w:t>
      </w:r>
      <w:r w:rsidR="00B82F7F" w:rsidRPr="00086487">
        <w:t xml:space="preserve"> v oblasti rozvoje mate</w:t>
      </w:r>
      <w:r w:rsidRPr="00086487">
        <w:t>matické a finanční gramotnosti.</w:t>
      </w:r>
    </w:p>
    <w:p w:rsidR="00B82F7F" w:rsidRPr="00086487" w:rsidRDefault="00B82F7F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Vytvoření </w:t>
      </w:r>
      <w:r w:rsidR="00890965" w:rsidRPr="00086487">
        <w:t xml:space="preserve">a využití </w:t>
      </w:r>
      <w:r w:rsidRPr="00086487">
        <w:t>nabídky mimoškolních vzdělávacích aktivit v oblasti matematiky</w:t>
      </w:r>
      <w:r w:rsidR="00890965" w:rsidRPr="00086487">
        <w:t>.</w:t>
      </w:r>
    </w:p>
    <w:p w:rsidR="008F338F" w:rsidRPr="00086487" w:rsidRDefault="008F338F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Zajištění k</w:t>
      </w:r>
      <w:r w:rsidR="00CF5605" w:rsidRPr="00086487">
        <w:t>valitní</w:t>
      </w:r>
      <w:r w:rsidRPr="00086487">
        <w:t>ho</w:t>
      </w:r>
      <w:r w:rsidR="00CF5605" w:rsidRPr="00086487">
        <w:t xml:space="preserve"> </w:t>
      </w:r>
      <w:r w:rsidRPr="00086487">
        <w:t>personálu pro výuku</w:t>
      </w:r>
      <w:r w:rsidR="00CF5605" w:rsidRPr="00086487">
        <w:t xml:space="preserve"> matematiky a rozvoje matematické (</w:t>
      </w:r>
      <w:proofErr w:type="spellStart"/>
      <w:r w:rsidR="00CF5605" w:rsidRPr="00086487">
        <w:t>pre</w:t>
      </w:r>
      <w:proofErr w:type="spellEnd"/>
      <w:r w:rsidR="00CF5605" w:rsidRPr="00086487">
        <w:t>)gramotnosti (nedostatek absolventů</w:t>
      </w:r>
      <w:r w:rsidRPr="00086487">
        <w:t xml:space="preserve"> PF pro obor matematiky), z</w:t>
      </w:r>
      <w:r w:rsidR="00CF5605" w:rsidRPr="00086487">
        <w:t>lepšit přípravu budoucích učitelů matematiky (nedostatečná</w:t>
      </w:r>
      <w:r w:rsidRPr="00086487">
        <w:t xml:space="preserve"> kvalita vzdělávání absolventů).</w:t>
      </w:r>
    </w:p>
    <w:p w:rsidR="00CF5605" w:rsidRPr="00086487" w:rsidRDefault="00CF560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Zlepšit přenos informací a spolupráci mezi ZŠ a UJEP, zajistit naplňování relevantních požadavků z praxe.</w:t>
      </w:r>
    </w:p>
    <w:p w:rsidR="00CF5605" w:rsidRPr="00086487" w:rsidRDefault="00D62463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Vhodné s</w:t>
      </w:r>
      <w:r w:rsidR="00CF5605" w:rsidRPr="00086487">
        <w:t>ystémové financování osvědčených pozic a aktivit, které jsou v současnosti financ</w:t>
      </w:r>
      <w:r w:rsidRPr="00086487">
        <w:t>ovány prostřednictvím projektů, zajištění individualizovaného vzdělávání, eliminace dopadů změny PHmax.</w:t>
      </w:r>
    </w:p>
    <w:p w:rsidR="00D62463" w:rsidRPr="00D62463" w:rsidRDefault="00D62463" w:rsidP="00D62463">
      <w:pPr>
        <w:spacing w:after="120" w:line="240" w:lineRule="auto"/>
        <w:rPr>
          <w:sz w:val="20"/>
          <w:szCs w:val="20"/>
        </w:rPr>
      </w:pPr>
    </w:p>
    <w:p w:rsidR="00B82F7F" w:rsidRDefault="00B82F7F" w:rsidP="00D3374A">
      <w:pPr>
        <w:spacing w:line="259" w:lineRule="auto"/>
        <w:jc w:val="left"/>
        <w:rPr>
          <w:lang w:eastAsia="cs-CZ"/>
        </w:rPr>
      </w:pPr>
    </w:p>
    <w:p w:rsidR="00B82F7F" w:rsidRDefault="00B82F7F" w:rsidP="00D3374A">
      <w:pPr>
        <w:spacing w:line="259" w:lineRule="auto"/>
        <w:jc w:val="left"/>
        <w:rPr>
          <w:lang w:eastAsia="cs-CZ"/>
        </w:rPr>
      </w:pPr>
    </w:p>
    <w:p w:rsidR="00B82F7F" w:rsidRDefault="00B82F7F" w:rsidP="00D3374A">
      <w:pPr>
        <w:spacing w:line="259" w:lineRule="auto"/>
        <w:jc w:val="left"/>
        <w:rPr>
          <w:lang w:eastAsia="cs-CZ"/>
        </w:rPr>
      </w:pPr>
    </w:p>
    <w:p w:rsidR="00B82F7F" w:rsidRDefault="00B82F7F" w:rsidP="00D3374A">
      <w:pPr>
        <w:spacing w:line="259" w:lineRule="auto"/>
        <w:jc w:val="left"/>
        <w:rPr>
          <w:lang w:eastAsia="cs-CZ"/>
        </w:rPr>
      </w:pPr>
    </w:p>
    <w:p w:rsidR="004B5262" w:rsidRDefault="004B5262">
      <w:pPr>
        <w:spacing w:line="259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:rsidR="00B82F7F" w:rsidRPr="00FA2BFD" w:rsidRDefault="00CD601F" w:rsidP="00EF3C19">
      <w:pPr>
        <w:pBdr>
          <w:top w:val="single" w:sz="18" w:space="1" w:color="385623" w:themeColor="accent6" w:themeShade="80"/>
          <w:left w:val="single" w:sz="18" w:space="4" w:color="385623" w:themeColor="accent6" w:themeShade="80"/>
          <w:bottom w:val="single" w:sz="18" w:space="1" w:color="385623" w:themeColor="accent6" w:themeShade="80"/>
          <w:right w:val="single" w:sz="18" w:space="4" w:color="385623" w:themeColor="accent6" w:themeShade="80"/>
        </w:pBdr>
        <w:spacing w:before="120" w:after="120" w:line="240" w:lineRule="auto"/>
        <w:ind w:left="113" w:right="142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>Podpora digitálních kompetencí</w:t>
      </w:r>
    </w:p>
    <w:tbl>
      <w:tblPr>
        <w:tblStyle w:val="Mkatabulky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17"/>
        <w:gridCol w:w="4445"/>
      </w:tblGrid>
      <w:tr w:rsidR="00B82F7F" w:rsidRPr="00FA2BFD" w:rsidTr="004B5262">
        <w:trPr>
          <w:trHeight w:val="283"/>
        </w:trPr>
        <w:tc>
          <w:tcPr>
            <w:tcW w:w="4617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S - Silné stránky</w:t>
            </w:r>
          </w:p>
        </w:tc>
        <w:tc>
          <w:tcPr>
            <w:tcW w:w="4445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W - Slabé stránky</w:t>
            </w:r>
          </w:p>
        </w:tc>
      </w:tr>
      <w:tr w:rsidR="00B82F7F" w:rsidRPr="004B5262" w:rsidTr="004B5262">
        <w:tc>
          <w:tcPr>
            <w:tcW w:w="4617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Za pomoci ICT dochází ke splnění základních potřeb, využití pro sebevzdělávání a přípravu na vzdělávání dětí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Velká část pedagogů má základní znalosti práce s internetem a využívá je pro sebevzdělávání a přípravu na</w:t>
            </w:r>
            <w:r w:rsidR="00CD601F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vzdělávání dětí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Tam, kde jsou k dispozici např. IT tabule, jsou hojně využívány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Pestrá nabídka pomůcek a metodik (např. Škola hrou)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Rozvoj povědomí o internetové bezpečnosti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Zvyšující se znalost pedagogů volně dostupných, bezpečných, otevřených internetových zdrojů a jejich využívání při výuce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Rozvoj oblasti v důsledku distanční výuky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Některé školy tuto oblasti v území již rozvíjí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4445" w:type="dxa"/>
          </w:tcPr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Kontroverze rozvoje digitálních kompetencí v předškolním věku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8F1D50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Nedostatečná k</w:t>
            </w:r>
            <w:r w:rsidR="00B82F7F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onektivita a vybavenost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škol</w:t>
            </w:r>
            <w:r w:rsidR="00B82F7F"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ICT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Absence pedagogů - specialistů v digitálních technologiích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Na mnohých školách je nedostatečné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 xml:space="preserve"> zajištění správy a</w:t>
            </w:r>
            <w:r w:rsidR="00CD601F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údržby sítě.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Slabé využití metody BYOD (využívání vlastního ICT zařízení)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Slabé respektování pravidel internetové bezpečnosti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</w:tr>
      <w:tr w:rsidR="00B82F7F" w:rsidRPr="00FA2BFD" w:rsidTr="004B5262">
        <w:trPr>
          <w:trHeight w:val="283"/>
        </w:trPr>
        <w:tc>
          <w:tcPr>
            <w:tcW w:w="4617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O - příležitosti</w:t>
            </w:r>
          </w:p>
        </w:tc>
        <w:tc>
          <w:tcPr>
            <w:tcW w:w="4445" w:type="dxa"/>
            <w:vAlign w:val="center"/>
          </w:tcPr>
          <w:p w:rsidR="00B82F7F" w:rsidRPr="00FA2BFD" w:rsidRDefault="00B82F7F" w:rsidP="00557AF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A2BFD">
              <w:rPr>
                <w:rFonts w:cs="Times New Roman"/>
                <w:b/>
                <w:bCs/>
                <w:sz w:val="20"/>
                <w:szCs w:val="20"/>
              </w:rPr>
              <w:t>T- Hrozby</w:t>
            </w:r>
          </w:p>
        </w:tc>
      </w:tr>
      <w:tr w:rsidR="00B82F7F" w:rsidRPr="004B5262" w:rsidTr="004B5262">
        <w:tc>
          <w:tcPr>
            <w:tcW w:w="4617" w:type="dxa"/>
          </w:tcPr>
          <w:p w:rsidR="00B82F7F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Sdílení dobré praxe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8F1D50" w:rsidRPr="004B5262" w:rsidRDefault="008F1D50" w:rsidP="008F1D5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Sdílení odborných nepedagogických pracovníků starajících se o ICT technologie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možností financování z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ESF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+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na vzdělání pedagogů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možností financování z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ESF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+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 na odpovídající vybavení IT technikou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centra pro rozvoj DG – MŠ Vojanova, kde probíhají školení pro pedag</w:t>
            </w:r>
            <w:r w:rsidR="00CD601F">
              <w:rPr>
                <w:rFonts w:asciiTheme="majorHAnsi" w:hAnsiTheme="majorHAnsi" w:cstheme="majorHAnsi"/>
                <w:sz w:val="18"/>
                <w:szCs w:val="20"/>
              </w:rPr>
              <w:t>ogy (B-bot, včelka, programy na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interaktivní tabule)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DVPP a školení personálu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Využití zájmu žáků a zapojení vlastních IT aktivit do výuky (uchopit šanci v případě kreativních jednotlivců)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Spolupráce s UJEP, DDM, knihovnou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0F0DDA" w:rsidRPr="004B5262" w:rsidRDefault="000F0DDA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Osvěta žáků i pedagogů v oblasti sociálních sítí a kyberbezpečnosti.</w:t>
            </w:r>
          </w:p>
        </w:tc>
        <w:tc>
          <w:tcPr>
            <w:tcW w:w="4445" w:type="dxa"/>
          </w:tcPr>
          <w:p w:rsidR="00B82F7F" w:rsidRPr="008F1D50" w:rsidRDefault="008F1D50" w:rsidP="008F1D50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Nedostatečná pružnost a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kreativita stávajících pedagogů, n</w:t>
            </w:r>
            <w:r w:rsidR="00B82F7F" w:rsidRPr="008F1D50">
              <w:rPr>
                <w:rFonts w:asciiTheme="majorHAnsi" w:hAnsiTheme="majorHAnsi" w:cstheme="majorHAnsi"/>
                <w:sz w:val="18"/>
                <w:szCs w:val="20"/>
              </w:rPr>
              <w:t>ezájem pedagogů učit se novým věcem v oblasti ICT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Nedostatek mobilních interaktivních pomůcek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 xml:space="preserve">Nedostatek finančních prostředků na potřeby infrastruktury 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 xml:space="preserve">a dostatečného 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ICT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 xml:space="preserve"> vybavení.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Neshoda názorů rodičů a p</w:t>
            </w:r>
            <w:r w:rsidR="008F1D50">
              <w:rPr>
                <w:rFonts w:asciiTheme="majorHAnsi" w:hAnsiTheme="majorHAnsi" w:cstheme="majorHAnsi"/>
                <w:sz w:val="18"/>
                <w:szCs w:val="20"/>
              </w:rPr>
              <w:t>edagogů o použití IT techniky ve školách.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Nedostatečná komunikace a spolupráce mezi školami za</w:t>
            </w:r>
            <w:r w:rsidR="00CD601F">
              <w:rPr>
                <w:rFonts w:asciiTheme="majorHAnsi" w:hAnsiTheme="majorHAnsi" w:cstheme="majorHAnsi"/>
                <w:sz w:val="18"/>
                <w:szCs w:val="20"/>
              </w:rPr>
              <w:t> </w:t>
            </w: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účelem jednotného zajištění konektivity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Nedostatek absolventů pedagogických fakult ve školství – tedy chybějící mladí pedagogové</w:t>
            </w:r>
          </w:p>
          <w:p w:rsidR="00B82F7F" w:rsidRPr="004B5262" w:rsidRDefault="00B82F7F" w:rsidP="004B5262">
            <w:pPr>
              <w:pStyle w:val="Odstavecseseznamem"/>
              <w:numPr>
                <w:ilvl w:val="0"/>
                <w:numId w:val="4"/>
              </w:numPr>
              <w:tabs>
                <w:tab w:val="left" w:pos="1080"/>
              </w:tabs>
              <w:spacing w:line="240" w:lineRule="auto"/>
              <w:ind w:left="170" w:hanging="170"/>
              <w:jc w:val="left"/>
              <w:rPr>
                <w:rFonts w:asciiTheme="majorHAnsi" w:hAnsiTheme="majorHAnsi" w:cstheme="majorHAnsi"/>
                <w:sz w:val="18"/>
                <w:szCs w:val="20"/>
              </w:rPr>
            </w:pPr>
            <w:r w:rsidRPr="004B5262">
              <w:rPr>
                <w:rFonts w:asciiTheme="majorHAnsi" w:hAnsiTheme="majorHAnsi" w:cstheme="majorHAnsi"/>
                <w:sz w:val="18"/>
                <w:szCs w:val="20"/>
              </w:rPr>
              <w:t>Zneužívání ze strany žáků možnosti „být on-line“ během vyučování – sociální sítě</w:t>
            </w:r>
            <w:r w:rsidR="008729CD">
              <w:rPr>
                <w:rFonts w:asciiTheme="majorHAnsi" w:hAnsiTheme="majorHAnsi" w:cstheme="majorHAnsi"/>
                <w:sz w:val="18"/>
                <w:szCs w:val="20"/>
              </w:rPr>
              <w:t>.</w:t>
            </w:r>
          </w:p>
        </w:tc>
      </w:tr>
    </w:tbl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CC7D4A" w:rsidRDefault="00CC7D4A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D6613C" w:rsidRDefault="00D6613C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8F1D50" w:rsidRDefault="008F1D50" w:rsidP="007E546A">
      <w:pPr>
        <w:spacing w:before="240" w:after="80" w:line="240" w:lineRule="auto"/>
        <w:rPr>
          <w:rFonts w:cs="Times New Roman"/>
          <w:b/>
          <w:sz w:val="24"/>
          <w:szCs w:val="24"/>
        </w:rPr>
      </w:pPr>
    </w:p>
    <w:p w:rsidR="008F1D50" w:rsidRPr="008F1D50" w:rsidRDefault="008F1D50" w:rsidP="008F1D50">
      <w:pPr>
        <w:spacing w:before="240" w:after="80" w:line="240" w:lineRule="auto"/>
        <w:rPr>
          <w:rFonts w:cs="Times New Roman"/>
          <w:b/>
          <w:sz w:val="24"/>
          <w:szCs w:val="24"/>
        </w:rPr>
      </w:pPr>
      <w:r w:rsidRPr="008F1D50">
        <w:rPr>
          <w:rFonts w:cs="Times New Roman"/>
          <w:b/>
          <w:sz w:val="24"/>
          <w:szCs w:val="24"/>
        </w:rPr>
        <w:lastRenderedPageBreak/>
        <w:t>Závěry vycházející ze SWOT analýzy pro aktualizaci strategické části:</w:t>
      </w:r>
    </w:p>
    <w:p w:rsidR="000F0DDA" w:rsidRPr="00086487" w:rsidRDefault="0089096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Zajištění stabilního financování pro adekvátní výbavu škol (</w:t>
      </w:r>
      <w:r w:rsidR="00B82F7F" w:rsidRPr="00086487">
        <w:t>HW i SW</w:t>
      </w:r>
      <w:r w:rsidRPr="00086487">
        <w:t>) v této oblasti (ideálně systémové financování)</w:t>
      </w:r>
      <w:r w:rsidR="000F0DDA" w:rsidRPr="00086487">
        <w:t xml:space="preserve"> a dostačující konektivity, zajištění jednotného dodavatele internetového připojení pro školy.</w:t>
      </w:r>
    </w:p>
    <w:p w:rsidR="00B82F7F" w:rsidRPr="00086487" w:rsidRDefault="00890965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 xml:space="preserve">Sdílení </w:t>
      </w:r>
      <w:r w:rsidR="00B82F7F" w:rsidRPr="00086487">
        <w:t>nepedagogic</w:t>
      </w:r>
      <w:r w:rsidRPr="00086487">
        <w:t>kých</w:t>
      </w:r>
      <w:r w:rsidR="00B82F7F" w:rsidRPr="00086487">
        <w:t xml:space="preserve"> pracovník</w:t>
      </w:r>
      <w:r w:rsidRPr="00086487">
        <w:t>ů mezi školami (odborníky na ICT).</w:t>
      </w:r>
    </w:p>
    <w:p w:rsidR="00A4676C" w:rsidRPr="00086487" w:rsidRDefault="00B82F7F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Pedagogové mají alespoň základní znalosti práce s počítačem a využívají je pro sebevzdělávání a přípravu na vzdělávání dětí (práce s operačním systémem, aplikacemi, soubory, tvorba textových dokumentů apod.)</w:t>
      </w:r>
      <w:r w:rsidR="000F0DDA" w:rsidRPr="00086487">
        <w:t>, potřeba pravidelných DVPP/školení pro rozvoj a implementace technologických inovací v</w:t>
      </w:r>
      <w:r w:rsidR="00A4676C" w:rsidRPr="00086487">
        <w:t>e vzdělávání, zlepšení přípravy pedagogů s ohledem na digitální kompetence.</w:t>
      </w:r>
    </w:p>
    <w:p w:rsidR="00E432E9" w:rsidRPr="00086487" w:rsidRDefault="00E432E9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Podpora efektivního využívají mobilní ICT vybavení a digitální te</w:t>
      </w:r>
      <w:r w:rsidR="00CD601F">
        <w:t>chnologie při výuce v terénu, v </w:t>
      </w:r>
      <w:r w:rsidRPr="00086487">
        <w:t>projektové výuce apod.</w:t>
      </w:r>
    </w:p>
    <w:p w:rsidR="00B82F7F" w:rsidRPr="00086487" w:rsidRDefault="000F0DDA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Posílení osvěty žáků</w:t>
      </w:r>
      <w:r w:rsidR="00A4676C" w:rsidRPr="00086487">
        <w:t>, rodičů</w:t>
      </w:r>
      <w:r w:rsidRPr="00086487">
        <w:t xml:space="preserve"> i pedagogů v oblasti sociálních sítí a kyberbezpečnosti, rozvoj kritického</w:t>
      </w:r>
      <w:r w:rsidR="00B82F7F" w:rsidRPr="00086487">
        <w:t xml:space="preserve"> pohled</w:t>
      </w:r>
      <w:r w:rsidRPr="00086487">
        <w:t>u</w:t>
      </w:r>
      <w:r w:rsidR="00B82F7F" w:rsidRPr="00086487">
        <w:t xml:space="preserve"> na internetový obsah k rozvoji znalostí a dovedností žáků</w:t>
      </w:r>
      <w:r w:rsidR="00CD601F">
        <w:t>.</w:t>
      </w:r>
    </w:p>
    <w:p w:rsidR="000F0DDA" w:rsidRPr="00086487" w:rsidRDefault="00E432E9" w:rsidP="00086487">
      <w:pPr>
        <w:pStyle w:val="Odstavecseseznamem"/>
        <w:numPr>
          <w:ilvl w:val="0"/>
          <w:numId w:val="8"/>
        </w:numPr>
        <w:ind w:left="357" w:hanging="357"/>
      </w:pPr>
      <w:r w:rsidRPr="00086487">
        <w:t>Sdílení dobré praxe v oblasti nabídky školení/seminářů atd., rozvoj a využití spolupráce s UJEP, s DDM.</w:t>
      </w:r>
    </w:p>
    <w:p w:rsidR="00B82F7F" w:rsidRPr="00B82F7F" w:rsidRDefault="00B82F7F" w:rsidP="00B82F7F">
      <w:pPr>
        <w:spacing w:line="259" w:lineRule="auto"/>
        <w:rPr>
          <w:i/>
          <w:sz w:val="20"/>
          <w:szCs w:val="20"/>
        </w:rPr>
      </w:pPr>
    </w:p>
    <w:p w:rsidR="00B82F7F" w:rsidRDefault="00B82F7F" w:rsidP="00D3374A">
      <w:pPr>
        <w:spacing w:line="259" w:lineRule="auto"/>
        <w:jc w:val="left"/>
        <w:rPr>
          <w:lang w:eastAsia="cs-CZ"/>
        </w:rPr>
      </w:pPr>
    </w:p>
    <w:sectPr w:rsidR="00B82F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5A4" w:rsidRDefault="00E355A4" w:rsidP="00D351FD">
      <w:pPr>
        <w:spacing w:after="0" w:line="240" w:lineRule="auto"/>
      </w:pPr>
      <w:r>
        <w:separator/>
      </w:r>
    </w:p>
  </w:endnote>
  <w:endnote w:type="continuationSeparator" w:id="0">
    <w:p w:rsidR="00E355A4" w:rsidRDefault="00E355A4" w:rsidP="00D3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69231"/>
      <w:docPartObj>
        <w:docPartGallery w:val="Page Numbers (Bottom of Page)"/>
        <w:docPartUnique/>
      </w:docPartObj>
    </w:sdtPr>
    <w:sdtEndPr/>
    <w:sdtContent>
      <w:p w:rsidR="00086487" w:rsidRDefault="00086487" w:rsidP="00D351FD">
        <w:pPr>
          <w:pStyle w:val="Zpat"/>
        </w:pPr>
        <w:r w:rsidRPr="004A4AA1">
          <w:rPr>
            <w:noProof/>
            <w:lang w:eastAsia="cs-CZ"/>
          </w:rPr>
          <w:drawing>
            <wp:anchor distT="0" distB="0" distL="114300" distR="114300" simplePos="0" relativeHeight="251661312" behindDoc="0" locked="0" layoutInCell="1" allowOverlap="1" wp14:anchorId="38791D8E" wp14:editId="196FB598">
              <wp:simplePos x="0" y="0"/>
              <wp:positionH relativeFrom="leftMargin">
                <wp:posOffset>873760</wp:posOffset>
              </wp:positionH>
              <wp:positionV relativeFrom="bottomMargin">
                <wp:posOffset>149860</wp:posOffset>
              </wp:positionV>
              <wp:extent cx="586740" cy="640715"/>
              <wp:effectExtent l="0" t="0" r="3810" b="6985"/>
              <wp:wrapNone/>
              <wp:docPr id="8" name="Obrázek 8" descr="C:\Users\dyrsm\Desktop\MAP II podklady\07_PUBLICITA, OBJEDNÁVKY\logo MAP\MAP_U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dyrsm\Desktop\MAP II podklady\07_PUBLICITA, OBJEDNÁVKY\logo MAP\MAP_UL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674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086487" w:rsidRPr="004A4AA1" w:rsidRDefault="00086487" w:rsidP="00D351FD">
        <w:pPr>
          <w:pStyle w:val="Zpat"/>
        </w:pPr>
        <w:r w:rsidRPr="004A4AA1">
          <w:rPr>
            <w:noProof/>
            <w:lang w:eastAsia="cs-CZ"/>
          </w:rPr>
          <w:drawing>
            <wp:anchor distT="0" distB="0" distL="114300" distR="114300" simplePos="0" relativeHeight="251662336" behindDoc="0" locked="0" layoutInCell="1" allowOverlap="1" wp14:anchorId="6D9635FF" wp14:editId="36A2772A">
              <wp:simplePos x="0" y="0"/>
              <wp:positionH relativeFrom="rightMargin">
                <wp:posOffset>-709295</wp:posOffset>
              </wp:positionH>
              <wp:positionV relativeFrom="bottomMargin">
                <wp:posOffset>235585</wp:posOffset>
              </wp:positionV>
              <wp:extent cx="579120" cy="424180"/>
              <wp:effectExtent l="0" t="0" r="0" b="0"/>
              <wp:wrapNone/>
              <wp:docPr id="9" name="Obrázek 9" descr="C:\Users\dyrsm\Desktop\MAP II podklady\07_PUBLICITA, OBJEDNÁVKY\LOGO_MAS 1 pro tis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dyrsm\Desktop\MAP II podklady\07_PUBLICITA, OBJEDNÁVKY\LOGO_MAS 1 pro tisk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sdt>
    <w:sdtPr>
      <w:id w:val="1067999807"/>
      <w:docPartObj>
        <w:docPartGallery w:val="Page Numbers (Bottom of Page)"/>
        <w:docPartUnique/>
      </w:docPartObj>
    </w:sdtPr>
    <w:sdtEndPr/>
    <w:sdtContent>
      <w:p w:rsidR="00086487" w:rsidRDefault="00086487" w:rsidP="00D351FD">
        <w:pPr>
          <w:tabs>
            <w:tab w:val="left" w:pos="5387"/>
            <w:tab w:val="right" w:pos="9072"/>
          </w:tabs>
          <w:spacing w:after="0"/>
          <w:jc w:val="center"/>
          <w:rPr>
            <w:sz w:val="18"/>
            <w:szCs w:val="18"/>
          </w:rPr>
        </w:pPr>
        <w:r>
          <w:rPr>
            <w:i/>
            <w:sz w:val="18"/>
            <w:szCs w:val="18"/>
          </w:rPr>
          <w:t>Místní akční plán rozvoje vzdělávání pro SO ORP Ústí nad Labem IV</w:t>
        </w:r>
      </w:p>
      <w:p w:rsidR="00086487" w:rsidRPr="00DA023D" w:rsidRDefault="00086487" w:rsidP="00D351FD">
        <w:pPr>
          <w:spacing w:after="0"/>
          <w:jc w:val="center"/>
          <w:rPr>
            <w:rFonts w:cstheme="minorHAnsi"/>
            <w:i/>
            <w:sz w:val="18"/>
          </w:rPr>
        </w:pPr>
        <w:r>
          <w:rPr>
            <w:i/>
            <w:sz w:val="18"/>
            <w:szCs w:val="18"/>
          </w:rPr>
          <w:t xml:space="preserve">Č. projektu: </w:t>
        </w:r>
        <w:proofErr w:type="gramStart"/>
        <w:r>
          <w:rPr>
            <w:i/>
            <w:sz w:val="18"/>
            <w:szCs w:val="18"/>
          </w:rPr>
          <w:t>CZ.02.02</w:t>
        </w:r>
        <w:proofErr w:type="gramEnd"/>
        <w:r>
          <w:rPr>
            <w:i/>
            <w:sz w:val="18"/>
            <w:szCs w:val="18"/>
          </w:rPr>
          <w:t>.XX/00/23_017/0008147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5A4" w:rsidRDefault="00E355A4" w:rsidP="00D351FD">
      <w:pPr>
        <w:spacing w:after="0" w:line="240" w:lineRule="auto"/>
      </w:pPr>
      <w:r>
        <w:separator/>
      </w:r>
    </w:p>
  </w:footnote>
  <w:footnote w:type="continuationSeparator" w:id="0">
    <w:p w:rsidR="00E355A4" w:rsidRDefault="00E355A4" w:rsidP="00D3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87" w:rsidRDefault="00086487" w:rsidP="00D351FD">
    <w:pPr>
      <w:pStyle w:val="Normlnweb"/>
      <w:jc w:val="center"/>
    </w:pPr>
    <w:r>
      <w:rPr>
        <w:noProof/>
      </w:rPr>
      <w:drawing>
        <wp:inline distT="0" distB="0" distL="0" distR="0" wp14:anchorId="1BB4AB63" wp14:editId="7D1FA630">
          <wp:extent cx="4724400" cy="674334"/>
          <wp:effectExtent l="0" t="0" r="0" b="0"/>
          <wp:docPr id="7" name="obrázek 1" descr="C:\Users\Jana Davidová\Desktop\MAP ÚL IV\EU+MŠMT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a Davidová\Desktop\MAP ÚL IV\EU+MŠMT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51" cy="69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487" w:rsidRPr="00D351FD" w:rsidRDefault="00086487" w:rsidP="00D351FD">
    <w:pPr>
      <w:pStyle w:val="Zhlav"/>
    </w:pPr>
    <w:r>
      <w:rPr>
        <w:rFonts w:eastAsiaTheme="majorEastAsia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378C9A" wp14:editId="6819D1E0">
              <wp:simplePos x="0" y="0"/>
              <wp:positionH relativeFrom="rightMargin">
                <wp:posOffset>320040</wp:posOffset>
              </wp:positionH>
              <wp:positionV relativeFrom="margin">
                <wp:posOffset>1815465</wp:posOffset>
              </wp:positionV>
              <wp:extent cx="252000" cy="327660"/>
              <wp:effectExtent l="0" t="0" r="0" b="0"/>
              <wp:wrapNone/>
              <wp:docPr id="12" name="Ová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00" cy="32766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086487" w:rsidRPr="001C2381" w:rsidRDefault="00086487" w:rsidP="00D351FD">
                          <w:pPr>
                            <w:spacing w:after="0"/>
                            <w:jc w:val="center"/>
                            <w:rPr>
                              <w:rStyle w:val="slostrnky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C2381">
                            <w:fldChar w:fldCharType="begin"/>
                          </w:r>
                          <w:r w:rsidRPr="001C2381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1C2381">
                            <w:fldChar w:fldCharType="separate"/>
                          </w:r>
                          <w:r w:rsidR="007E1476" w:rsidRPr="007E1476">
                            <w:rPr>
                              <w:rStyle w:val="slostrnky"/>
                              <w:b/>
                              <w:bCs/>
                              <w:noProof/>
                              <w:color w:val="FFFFFF" w:themeColor="background1"/>
                            </w:rPr>
                            <w:t>14</w:t>
                          </w:r>
                          <w:r w:rsidRPr="001C2381">
                            <w:rPr>
                              <w:rStyle w:val="slostrnky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2378C9A" id="Ovál 12" o:spid="_x0000_s1026" style="position:absolute;left:0;text-align:left;margin-left:25.2pt;margin-top:142.95pt;width:19.8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" o:allowincell="f" fillcolor="#00b050" stroked="f">
              <v:textbox inset="0,,0">
                <w:txbxContent>
                  <w:p w:rsidR="00086487" w:rsidRPr="001C2381" w:rsidRDefault="00086487" w:rsidP="00D351FD">
                    <w:pPr>
                      <w:spacing w:after="0"/>
                      <w:jc w:val="center"/>
                      <w:rPr>
                        <w:rStyle w:val="slostrnky"/>
                        <w:color w:val="FFFFFF" w:themeColor="background1"/>
                        <w:sz w:val="16"/>
                        <w:szCs w:val="16"/>
                      </w:rPr>
                    </w:pPr>
                    <w:r w:rsidRPr="001C2381">
                      <w:fldChar w:fldCharType="begin"/>
                    </w:r>
                    <w:r w:rsidRPr="001C2381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1C2381">
                      <w:fldChar w:fldCharType="separate"/>
                    </w:r>
                    <w:r w:rsidR="007E1476" w:rsidRPr="007E1476">
                      <w:rPr>
                        <w:rStyle w:val="slostrnky"/>
                        <w:b/>
                        <w:bCs/>
                        <w:noProof/>
                        <w:color w:val="FFFFFF" w:themeColor="background1"/>
                      </w:rPr>
                      <w:t>14</w:t>
                    </w:r>
                    <w:r w:rsidRPr="001C2381">
                      <w:rPr>
                        <w:rStyle w:val="slostrnky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38A"/>
    <w:multiLevelType w:val="hybridMultilevel"/>
    <w:tmpl w:val="DF00AA22"/>
    <w:lvl w:ilvl="0" w:tplc="040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557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C0D90"/>
    <w:multiLevelType w:val="hybridMultilevel"/>
    <w:tmpl w:val="FA181C1C"/>
    <w:lvl w:ilvl="0" w:tplc="703AE1EE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3020"/>
    <w:multiLevelType w:val="hybridMultilevel"/>
    <w:tmpl w:val="EEB2A536"/>
    <w:lvl w:ilvl="0" w:tplc="F8CE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3C12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83E75"/>
    <w:multiLevelType w:val="hybridMultilevel"/>
    <w:tmpl w:val="BC4E97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F3531"/>
    <w:multiLevelType w:val="hybridMultilevel"/>
    <w:tmpl w:val="AE36BD02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5B4F"/>
    <w:multiLevelType w:val="hybridMultilevel"/>
    <w:tmpl w:val="4492FC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97E44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D79D6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E0869"/>
    <w:multiLevelType w:val="hybridMultilevel"/>
    <w:tmpl w:val="85F218BE"/>
    <w:lvl w:ilvl="0" w:tplc="91BC6D84">
      <w:start w:val="1"/>
      <w:numFmt w:val="upperRoman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58A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35678"/>
    <w:multiLevelType w:val="hybridMultilevel"/>
    <w:tmpl w:val="A5CAC084"/>
    <w:lvl w:ilvl="0" w:tplc="C6148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45EA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75D74"/>
    <w:multiLevelType w:val="hybridMultilevel"/>
    <w:tmpl w:val="87703440"/>
    <w:lvl w:ilvl="0" w:tplc="D6389A44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0664E"/>
    <w:multiLevelType w:val="hybridMultilevel"/>
    <w:tmpl w:val="81A03424"/>
    <w:lvl w:ilvl="0" w:tplc="BFCED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9F006F"/>
    <w:multiLevelType w:val="hybridMultilevel"/>
    <w:tmpl w:val="BB843A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004A4"/>
    <w:multiLevelType w:val="hybridMultilevel"/>
    <w:tmpl w:val="B2C477F2"/>
    <w:lvl w:ilvl="0" w:tplc="F8CE9FC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trike w:val="0"/>
        <w:color w:val="auto"/>
        <w:sz w:val="20"/>
        <w:szCs w:val="20"/>
      </w:rPr>
    </w:lvl>
    <w:lvl w:ilvl="1" w:tplc="77E87436">
      <w:start w:val="3"/>
      <w:numFmt w:val="bullet"/>
      <w:lvlText w:val="-"/>
      <w:lvlJc w:val="left"/>
      <w:pPr>
        <w:ind w:left="1440" w:hanging="360"/>
      </w:pPr>
      <w:rPr>
        <w:rFonts w:ascii="Book Antiqua" w:eastAsiaTheme="minorEastAsia" w:hAnsi="Book Antiqu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769A2"/>
    <w:multiLevelType w:val="hybridMultilevel"/>
    <w:tmpl w:val="DF00AA22"/>
    <w:lvl w:ilvl="0" w:tplc="040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12"/>
  </w:num>
  <w:num w:numId="7">
    <w:abstractNumId w:val="16"/>
  </w:num>
  <w:num w:numId="8">
    <w:abstractNumId w:val="14"/>
  </w:num>
  <w:num w:numId="9">
    <w:abstractNumId w:val="7"/>
  </w:num>
  <w:num w:numId="10">
    <w:abstractNumId w:val="18"/>
  </w:num>
  <w:num w:numId="11">
    <w:abstractNumId w:val="5"/>
  </w:num>
  <w:num w:numId="12">
    <w:abstractNumId w:val="13"/>
  </w:num>
  <w:num w:numId="13">
    <w:abstractNumId w:val="0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4A"/>
    <w:rsid w:val="0008121F"/>
    <w:rsid w:val="00086487"/>
    <w:rsid w:val="00093615"/>
    <w:rsid w:val="000F0DDA"/>
    <w:rsid w:val="001056F5"/>
    <w:rsid w:val="001108FF"/>
    <w:rsid w:val="0011405A"/>
    <w:rsid w:val="00181C78"/>
    <w:rsid w:val="00182870"/>
    <w:rsid w:val="001874A1"/>
    <w:rsid w:val="001A4876"/>
    <w:rsid w:val="0021319C"/>
    <w:rsid w:val="00232E85"/>
    <w:rsid w:val="00237D26"/>
    <w:rsid w:val="00241BEE"/>
    <w:rsid w:val="002F4A6F"/>
    <w:rsid w:val="003A58E0"/>
    <w:rsid w:val="00442166"/>
    <w:rsid w:val="004B5262"/>
    <w:rsid w:val="00513151"/>
    <w:rsid w:val="005261C5"/>
    <w:rsid w:val="0053372C"/>
    <w:rsid w:val="00557AF8"/>
    <w:rsid w:val="005B22F5"/>
    <w:rsid w:val="005C0899"/>
    <w:rsid w:val="005D0589"/>
    <w:rsid w:val="005E326F"/>
    <w:rsid w:val="005E7F61"/>
    <w:rsid w:val="00667C77"/>
    <w:rsid w:val="006F1360"/>
    <w:rsid w:val="006F551D"/>
    <w:rsid w:val="007346FD"/>
    <w:rsid w:val="007B0084"/>
    <w:rsid w:val="007B7ADA"/>
    <w:rsid w:val="007C0491"/>
    <w:rsid w:val="007E1476"/>
    <w:rsid w:val="007E546A"/>
    <w:rsid w:val="008729CD"/>
    <w:rsid w:val="00872A31"/>
    <w:rsid w:val="00890965"/>
    <w:rsid w:val="008D5DB4"/>
    <w:rsid w:val="008F1D50"/>
    <w:rsid w:val="008F2403"/>
    <w:rsid w:val="008F338F"/>
    <w:rsid w:val="009812BB"/>
    <w:rsid w:val="00992BE3"/>
    <w:rsid w:val="009C5F84"/>
    <w:rsid w:val="00A4676C"/>
    <w:rsid w:val="00A5030B"/>
    <w:rsid w:val="00A60E2E"/>
    <w:rsid w:val="00AA5D07"/>
    <w:rsid w:val="00AE6E95"/>
    <w:rsid w:val="00AF2F9D"/>
    <w:rsid w:val="00B82F7F"/>
    <w:rsid w:val="00BA5D18"/>
    <w:rsid w:val="00BB42EC"/>
    <w:rsid w:val="00BF6C30"/>
    <w:rsid w:val="00C166A6"/>
    <w:rsid w:val="00C32003"/>
    <w:rsid w:val="00C45F48"/>
    <w:rsid w:val="00CB4890"/>
    <w:rsid w:val="00CC7D4A"/>
    <w:rsid w:val="00CD601F"/>
    <w:rsid w:val="00CF5605"/>
    <w:rsid w:val="00D272B0"/>
    <w:rsid w:val="00D3374A"/>
    <w:rsid w:val="00D351FD"/>
    <w:rsid w:val="00D62463"/>
    <w:rsid w:val="00D6613C"/>
    <w:rsid w:val="00D803E2"/>
    <w:rsid w:val="00E07FF9"/>
    <w:rsid w:val="00E355A4"/>
    <w:rsid w:val="00E432E9"/>
    <w:rsid w:val="00ED1B1E"/>
    <w:rsid w:val="00EF3C19"/>
    <w:rsid w:val="00F057C2"/>
    <w:rsid w:val="00F13930"/>
    <w:rsid w:val="00F80A2F"/>
    <w:rsid w:val="00FD73E6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E3BE"/>
  <w15:chartTrackingRefBased/>
  <w15:docId w15:val="{C09CEDC4-F518-4443-87F7-F0688DD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74A"/>
    <w:pPr>
      <w:spacing w:line="300" w:lineRule="auto"/>
      <w:jc w:val="both"/>
    </w:pPr>
    <w:rPr>
      <w:rFonts w:ascii="Calibri Light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ad 1,Odstavec se seznamem1,Tabulka,Název grafu,tabulka 123"/>
    <w:basedOn w:val="Normln"/>
    <w:link w:val="OdstavecseseznamemChar"/>
    <w:uiPriority w:val="34"/>
    <w:qFormat/>
    <w:rsid w:val="00D3374A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Odstavec se seznamem1 Char,Tabulka Char,Název grafu Char,tabulka 123 Char"/>
    <w:link w:val="Odstavecseseznamem"/>
    <w:uiPriority w:val="34"/>
    <w:locked/>
    <w:rsid w:val="00D3374A"/>
    <w:rPr>
      <w:rFonts w:ascii="Calibri Light" w:hAnsi="Calibri Light"/>
    </w:rPr>
  </w:style>
  <w:style w:type="table" w:styleId="Mkatabulky">
    <w:name w:val="Table Grid"/>
    <w:basedOn w:val="Normlntabulka"/>
    <w:uiPriority w:val="39"/>
    <w:rsid w:val="00D3374A"/>
    <w:pPr>
      <w:spacing w:after="0" w:line="360" w:lineRule="auto"/>
      <w:ind w:firstLine="709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1FD"/>
    <w:rPr>
      <w:rFonts w:ascii="Calibri Light" w:hAnsi="Calibri Light"/>
    </w:rPr>
  </w:style>
  <w:style w:type="paragraph" w:styleId="Zpat">
    <w:name w:val="footer"/>
    <w:basedOn w:val="Normln"/>
    <w:link w:val="ZpatChar"/>
    <w:uiPriority w:val="99"/>
    <w:unhideWhenUsed/>
    <w:rsid w:val="00D3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1FD"/>
    <w:rPr>
      <w:rFonts w:ascii="Calibri Light" w:hAnsi="Calibri Light"/>
    </w:rPr>
  </w:style>
  <w:style w:type="character" w:styleId="slostrnky">
    <w:name w:val="page number"/>
    <w:basedOn w:val="Standardnpsmoodstavce"/>
    <w:uiPriority w:val="99"/>
    <w:unhideWhenUsed/>
    <w:rsid w:val="00D351FD"/>
  </w:style>
  <w:style w:type="paragraph" w:styleId="Normlnweb">
    <w:name w:val="Normal (Web)"/>
    <w:basedOn w:val="Normln"/>
    <w:uiPriority w:val="99"/>
    <w:unhideWhenUsed/>
    <w:rsid w:val="00D351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51FD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B82F7F"/>
    <w:pPr>
      <w:widowControl w:val="0"/>
      <w:suppressAutoHyphens/>
      <w:autoSpaceDN w:val="0"/>
      <w:spacing w:after="0" w:line="360" w:lineRule="auto"/>
      <w:ind w:firstLine="709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f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4245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Jana Davidová</cp:lastModifiedBy>
  <cp:revision>16</cp:revision>
  <cp:lastPrinted>2024-06-18T14:11:00Z</cp:lastPrinted>
  <dcterms:created xsi:type="dcterms:W3CDTF">2024-06-13T07:31:00Z</dcterms:created>
  <dcterms:modified xsi:type="dcterms:W3CDTF">2024-06-20T08:40:00Z</dcterms:modified>
</cp:coreProperties>
</file>