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F1" w:rsidRPr="00027CE0" w:rsidRDefault="002F6DF1" w:rsidP="002F6DF1">
      <w:pPr>
        <w:spacing w:before="120" w:after="120" w:line="240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027CE0">
        <w:rPr>
          <w:rFonts w:asciiTheme="minorHAnsi" w:hAnsiTheme="minorHAnsi" w:cstheme="minorHAnsi"/>
          <w:b/>
          <w:i/>
          <w:sz w:val="16"/>
          <w:szCs w:val="16"/>
        </w:rPr>
        <w:t>Tento projekt je financován z ESF+ (</w:t>
      </w:r>
      <w:hyperlink r:id="rId8" w:history="1">
        <w:r w:rsidRPr="00027CE0">
          <w:rPr>
            <w:rStyle w:val="Hypertextovodkaz"/>
            <w:rFonts w:asciiTheme="minorHAnsi" w:hAnsiTheme="minorHAnsi" w:cstheme="minorHAnsi"/>
            <w:b/>
            <w:sz w:val="16"/>
            <w:szCs w:val="16"/>
          </w:rPr>
          <w:t>http://www.esfcr.cz</w:t>
        </w:r>
      </w:hyperlink>
      <w:r w:rsidRPr="00027CE0">
        <w:rPr>
          <w:rFonts w:asciiTheme="minorHAnsi" w:hAnsiTheme="minorHAnsi" w:cstheme="minorHAnsi"/>
          <w:b/>
          <w:i/>
          <w:sz w:val="16"/>
          <w:szCs w:val="16"/>
        </w:rPr>
        <w:t>) prostřednictvím OP JAK (</w:t>
      </w:r>
      <w:hyperlink r:id="rId9" w:history="1">
        <w:r w:rsidRPr="00027CE0">
          <w:rPr>
            <w:rStyle w:val="Hypertextovodkaz"/>
            <w:rFonts w:asciiTheme="minorHAnsi" w:hAnsiTheme="minorHAnsi" w:cstheme="minorHAnsi"/>
            <w:b/>
            <w:sz w:val="16"/>
            <w:szCs w:val="16"/>
          </w:rPr>
          <w:t>https://opjak.cz/</w:t>
        </w:r>
      </w:hyperlink>
      <w:r w:rsidRPr="00027CE0">
        <w:rPr>
          <w:rFonts w:asciiTheme="minorHAnsi" w:hAnsiTheme="minorHAnsi" w:cstheme="minorHAnsi"/>
          <w:b/>
          <w:i/>
          <w:sz w:val="16"/>
          <w:szCs w:val="16"/>
        </w:rPr>
        <w:t xml:space="preserve">). </w:t>
      </w:r>
    </w:p>
    <w:p w:rsidR="002F6DF1" w:rsidRPr="00027CE0" w:rsidRDefault="002F6DF1" w:rsidP="002F6DF1">
      <w:pPr>
        <w:spacing w:before="120" w:after="120" w:line="240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027CE0">
        <w:rPr>
          <w:rFonts w:asciiTheme="minorHAnsi" w:hAnsiTheme="minorHAnsi" w:cstheme="minorHAnsi"/>
          <w:b/>
          <w:i/>
          <w:sz w:val="16"/>
          <w:szCs w:val="16"/>
        </w:rPr>
        <w:t>Výzva č. 02_23_017 Akční plánování v území – MAP</w:t>
      </w:r>
    </w:p>
    <w:p w:rsidR="002F6DF1" w:rsidRDefault="002F6DF1" w:rsidP="002F6DF1">
      <w:pPr>
        <w:spacing w:before="120" w:after="120" w:line="240" w:lineRule="auto"/>
        <w:jc w:val="center"/>
        <w:rPr>
          <w:b/>
          <w:sz w:val="24"/>
          <w:szCs w:val="24"/>
        </w:rPr>
      </w:pPr>
    </w:p>
    <w:p w:rsidR="002F6DF1" w:rsidRDefault="002F6DF1" w:rsidP="002F6DF1">
      <w:pPr>
        <w:spacing w:before="120" w:after="120" w:line="240" w:lineRule="auto"/>
        <w:jc w:val="center"/>
        <w:rPr>
          <w:b/>
          <w:sz w:val="32"/>
          <w:szCs w:val="32"/>
        </w:rPr>
      </w:pPr>
    </w:p>
    <w:p w:rsidR="002F6DF1" w:rsidRDefault="002F6DF1" w:rsidP="002F6DF1">
      <w:pPr>
        <w:spacing w:before="120" w:after="120" w:line="240" w:lineRule="auto"/>
        <w:jc w:val="center"/>
        <w:rPr>
          <w:b/>
          <w:sz w:val="32"/>
          <w:szCs w:val="32"/>
        </w:rPr>
      </w:pPr>
    </w:p>
    <w:p w:rsidR="002F6DF1" w:rsidRPr="00560D70" w:rsidRDefault="002F6DF1" w:rsidP="002F6DF1">
      <w:pPr>
        <w:spacing w:after="0" w:line="240" w:lineRule="auto"/>
        <w:jc w:val="center"/>
        <w:rPr>
          <w:rFonts w:eastAsia="Calibri" w:cs="Calibri"/>
          <w:color w:val="00B050"/>
          <w:sz w:val="32"/>
          <w:szCs w:val="32"/>
          <w:lang w:eastAsia="cs-CZ"/>
        </w:rPr>
      </w:pPr>
      <w:r w:rsidRPr="00560D70">
        <w:rPr>
          <w:rFonts w:eastAsia="Calibri" w:cs="Calibri"/>
          <w:color w:val="00B050"/>
          <w:sz w:val="32"/>
          <w:szCs w:val="32"/>
          <w:lang w:eastAsia="cs-CZ"/>
        </w:rPr>
        <w:t xml:space="preserve">Místní akční plán rozvoje vzdělávání </w:t>
      </w:r>
    </w:p>
    <w:p w:rsidR="002F6DF1" w:rsidRPr="00560D70" w:rsidRDefault="002F6DF1" w:rsidP="002F6DF1">
      <w:pPr>
        <w:spacing w:after="0" w:line="240" w:lineRule="auto"/>
        <w:jc w:val="center"/>
        <w:rPr>
          <w:rFonts w:eastAsia="Calibri" w:cs="Calibri"/>
          <w:color w:val="00B050"/>
          <w:sz w:val="32"/>
          <w:szCs w:val="32"/>
          <w:lang w:eastAsia="cs-CZ"/>
        </w:rPr>
      </w:pPr>
      <w:r w:rsidRPr="00560D70">
        <w:rPr>
          <w:rFonts w:eastAsia="Calibri" w:cs="Calibri"/>
          <w:color w:val="00B050"/>
          <w:sz w:val="32"/>
          <w:szCs w:val="32"/>
          <w:lang w:eastAsia="cs-CZ"/>
        </w:rPr>
        <w:t>pro SO ORP Ústí nad Labem IV</w:t>
      </w:r>
    </w:p>
    <w:p w:rsidR="002F6DF1" w:rsidRPr="00560D70" w:rsidRDefault="002F6DF1" w:rsidP="002F6DF1">
      <w:pPr>
        <w:spacing w:after="0" w:line="240" w:lineRule="auto"/>
        <w:jc w:val="center"/>
        <w:rPr>
          <w:rFonts w:eastAsia="Calibri" w:cs="Calibri"/>
          <w:color w:val="00B050"/>
          <w:lang w:eastAsia="cs-CZ"/>
        </w:rPr>
      </w:pPr>
      <w:r w:rsidRPr="00560D70">
        <w:rPr>
          <w:rFonts w:eastAsia="Calibri" w:cs="Calibri"/>
          <w:color w:val="00B050"/>
          <w:lang w:eastAsia="cs-CZ"/>
        </w:rPr>
        <w:t xml:space="preserve">Č. projektu: </w:t>
      </w:r>
      <w:proofErr w:type="gramStart"/>
      <w:r w:rsidRPr="00560D70">
        <w:rPr>
          <w:rFonts w:eastAsia="Calibri" w:cs="Calibri"/>
          <w:color w:val="00B050"/>
          <w:lang w:eastAsia="cs-CZ"/>
        </w:rPr>
        <w:t>CZ.02.02</w:t>
      </w:r>
      <w:proofErr w:type="gramEnd"/>
      <w:r w:rsidRPr="00560D70">
        <w:rPr>
          <w:rFonts w:eastAsia="Calibri" w:cs="Calibri"/>
          <w:color w:val="00B050"/>
          <w:lang w:eastAsia="cs-CZ"/>
        </w:rPr>
        <w:t>.XX/00/23_017/0008147</w:t>
      </w:r>
    </w:p>
    <w:p w:rsidR="002F6DF1" w:rsidRDefault="002F6DF1" w:rsidP="002F6DF1">
      <w:pPr>
        <w:spacing w:after="0" w:line="240" w:lineRule="auto"/>
        <w:jc w:val="center"/>
        <w:rPr>
          <w:b/>
          <w:sz w:val="32"/>
          <w:szCs w:val="32"/>
        </w:rPr>
      </w:pPr>
    </w:p>
    <w:p w:rsidR="002F6DF1" w:rsidRDefault="002F6DF1" w:rsidP="002F6DF1">
      <w:pPr>
        <w:spacing w:after="0" w:line="240" w:lineRule="auto"/>
        <w:jc w:val="center"/>
        <w:rPr>
          <w:rFonts w:ascii="Book Antiqua" w:eastAsia="Book Antiqua" w:hAnsi="Book Antiqua" w:cs="Book Antiqua"/>
          <w:b/>
        </w:rPr>
      </w:pPr>
    </w:p>
    <w:p w:rsidR="002F6DF1" w:rsidRDefault="002F6DF1" w:rsidP="002F6DF1">
      <w:pPr>
        <w:spacing w:after="0" w:line="240" w:lineRule="auto"/>
        <w:jc w:val="center"/>
        <w:rPr>
          <w:rFonts w:ascii="Book Antiqua" w:eastAsia="Book Antiqua" w:hAnsi="Book Antiqua" w:cs="Book Antiqua"/>
          <w:b/>
        </w:rPr>
      </w:pPr>
    </w:p>
    <w:p w:rsidR="002F6DF1" w:rsidRDefault="002F6DF1" w:rsidP="002F6DF1">
      <w:pPr>
        <w:spacing w:after="0" w:line="240" w:lineRule="auto"/>
        <w:jc w:val="center"/>
        <w:rPr>
          <w:rFonts w:ascii="Book Antiqua" w:eastAsia="Book Antiqua" w:hAnsi="Book Antiqua" w:cs="Book Antiqua"/>
          <w:b/>
        </w:rPr>
      </w:pPr>
    </w:p>
    <w:p w:rsidR="002F6DF1" w:rsidRDefault="002F6DF1" w:rsidP="002F6DF1">
      <w:pPr>
        <w:spacing w:after="0" w:line="240" w:lineRule="auto"/>
        <w:jc w:val="center"/>
        <w:rPr>
          <w:rFonts w:ascii="Book Antiqua" w:eastAsia="Book Antiqua" w:hAnsi="Book Antiqua" w:cs="Book Antiqua"/>
          <w:b/>
        </w:rPr>
      </w:pPr>
    </w:p>
    <w:p w:rsidR="002F6DF1" w:rsidRDefault="002F6DF1" w:rsidP="002F6DF1">
      <w:pPr>
        <w:spacing w:after="0" w:line="240" w:lineRule="auto"/>
        <w:jc w:val="center"/>
        <w:rPr>
          <w:rFonts w:ascii="Book Antiqua" w:eastAsia="Book Antiqua" w:hAnsi="Book Antiqua" w:cs="Book Antiqua"/>
          <w:b/>
        </w:rPr>
      </w:pPr>
    </w:p>
    <w:p w:rsidR="003A71B9" w:rsidRDefault="001A3895" w:rsidP="003A71B9">
      <w:pPr>
        <w:jc w:val="center"/>
        <w:rPr>
          <w:rFonts w:cs="Calibri Light"/>
          <w:b/>
          <w:color w:val="00B050"/>
          <w:sz w:val="48"/>
          <w:szCs w:val="36"/>
        </w:rPr>
      </w:pPr>
      <w:r w:rsidRPr="005F3646">
        <w:rPr>
          <w:rFonts w:cs="Calibri Light"/>
          <w:b/>
          <w:color w:val="00B050"/>
          <w:sz w:val="48"/>
          <w:szCs w:val="36"/>
        </w:rPr>
        <w:t xml:space="preserve">INFORMACE O STÁVAJÍCÍM STAVU </w:t>
      </w:r>
      <w:r w:rsidR="002F6DF1">
        <w:rPr>
          <w:rFonts w:cs="Calibri Light"/>
          <w:b/>
          <w:color w:val="00B050"/>
          <w:sz w:val="48"/>
          <w:szCs w:val="36"/>
        </w:rPr>
        <w:t xml:space="preserve">ZÁKLADNÍCH GRAMOTNOSTÍ/KLÍČOVÝCH KOMPETECÍ </w:t>
      </w:r>
      <w:r w:rsidRPr="005F3646">
        <w:rPr>
          <w:rFonts w:cs="Calibri Light"/>
          <w:b/>
          <w:color w:val="00B050"/>
          <w:sz w:val="48"/>
          <w:szCs w:val="36"/>
        </w:rPr>
        <w:t>A INKLUZIVITY</w:t>
      </w:r>
      <w:r w:rsidR="002F6DF1">
        <w:rPr>
          <w:rFonts w:cs="Calibri Light"/>
          <w:b/>
          <w:color w:val="00B050"/>
          <w:sz w:val="48"/>
          <w:szCs w:val="36"/>
        </w:rPr>
        <w:t xml:space="preserve"> V</w:t>
      </w:r>
      <w:r w:rsidR="005F771E">
        <w:rPr>
          <w:rFonts w:cs="Calibri Light"/>
          <w:b/>
          <w:color w:val="00B050"/>
          <w:sz w:val="48"/>
          <w:szCs w:val="36"/>
        </w:rPr>
        <w:t> </w:t>
      </w:r>
      <w:r w:rsidR="002F6DF1">
        <w:rPr>
          <w:rFonts w:cs="Calibri Light"/>
          <w:b/>
          <w:color w:val="00B050"/>
          <w:sz w:val="48"/>
          <w:szCs w:val="36"/>
        </w:rPr>
        <w:t>ÚZEMÍ</w:t>
      </w:r>
    </w:p>
    <w:p w:rsidR="005F771E" w:rsidRDefault="00A04D3A" w:rsidP="003A71B9">
      <w:pPr>
        <w:jc w:val="center"/>
        <w:rPr>
          <w:rFonts w:cs="Calibri Light"/>
          <w:b/>
          <w:color w:val="00B050"/>
          <w:sz w:val="48"/>
          <w:szCs w:val="36"/>
        </w:rPr>
      </w:pPr>
      <w:r>
        <w:rPr>
          <w:rFonts w:cs="Calibri Light"/>
          <w:b/>
          <w:color w:val="00B050"/>
          <w:sz w:val="48"/>
          <w:szCs w:val="36"/>
        </w:rPr>
        <w:t>+</w:t>
      </w:r>
    </w:p>
    <w:p w:rsidR="005F771E" w:rsidRPr="005F3646" w:rsidRDefault="0047085E" w:rsidP="003A71B9">
      <w:pPr>
        <w:jc w:val="center"/>
        <w:rPr>
          <w:rFonts w:cs="Calibri Light"/>
          <w:b/>
          <w:color w:val="00B050"/>
          <w:sz w:val="48"/>
          <w:szCs w:val="36"/>
        </w:rPr>
      </w:pPr>
      <w:r>
        <w:rPr>
          <w:rFonts w:cs="Calibri Light"/>
          <w:b/>
          <w:color w:val="00B050"/>
          <w:sz w:val="48"/>
          <w:szCs w:val="36"/>
        </w:rPr>
        <w:t>REVIZE ANALÝZY STAVU A POTŘ</w:t>
      </w:r>
      <w:r w:rsidR="005F771E">
        <w:rPr>
          <w:rFonts w:cs="Calibri Light"/>
          <w:b/>
          <w:color w:val="00B050"/>
          <w:sz w:val="48"/>
          <w:szCs w:val="36"/>
        </w:rPr>
        <w:t xml:space="preserve">EB </w:t>
      </w:r>
    </w:p>
    <w:p w:rsidR="003A71B9" w:rsidRPr="004A2F0A" w:rsidRDefault="003A71B9" w:rsidP="003A71B9">
      <w:pPr>
        <w:jc w:val="center"/>
        <w:rPr>
          <w:rFonts w:cs="Calibri Light"/>
        </w:rPr>
      </w:pPr>
    </w:p>
    <w:p w:rsidR="00E0117B" w:rsidRDefault="003A71B9">
      <w:pPr>
        <w:spacing w:line="259" w:lineRule="auto"/>
        <w:jc w:val="left"/>
        <w:rPr>
          <w:rFonts w:cs="Calibri Light"/>
        </w:rPr>
      </w:pPr>
      <w:r w:rsidRPr="004A2F0A">
        <w:rPr>
          <w:rFonts w:cs="Calibri Light"/>
        </w:rPr>
        <w:br w:type="page"/>
      </w:r>
    </w:p>
    <w:p w:rsidR="005F3646" w:rsidRPr="005F3646" w:rsidRDefault="005F3646" w:rsidP="00B57DB1">
      <w:pPr>
        <w:pStyle w:val="Nadpis1"/>
        <w:ind w:left="357" w:hanging="357"/>
      </w:pPr>
      <w:bookmarkStart w:id="0" w:name="_Toc123820393"/>
      <w:r w:rsidRPr="005F3646">
        <w:lastRenderedPageBreak/>
        <w:t>Informace o stávajícím stavu čtenářské gramotnosti</w:t>
      </w:r>
      <w:bookmarkEnd w:id="0"/>
    </w:p>
    <w:p w:rsidR="005F3646" w:rsidRDefault="005F3646" w:rsidP="005F3646">
      <w:pPr>
        <w:spacing w:line="276" w:lineRule="auto"/>
        <w:rPr>
          <w:i/>
        </w:rPr>
      </w:pPr>
      <w:bookmarkStart w:id="1" w:name="_Hlk530037266"/>
      <w:r>
        <w:rPr>
          <w:b/>
          <w:i/>
        </w:rPr>
        <w:t>„Čtenářská gramotnost</w:t>
      </w:r>
      <w:r>
        <w:rPr>
          <w:i/>
        </w:rPr>
        <w:t xml:space="preserve"> představuje porozumění, využívání, posuzování a angažování se v psaných textech za účelem dosažení cílů jedince, rozšíření jeho znalostí a</w:t>
      </w:r>
      <w:r w:rsidR="00F14990">
        <w:rPr>
          <w:i/>
        </w:rPr>
        <w:t xml:space="preserve"> potenciálu a aktivní účasti ve </w:t>
      </w:r>
      <w:r>
        <w:rPr>
          <w:i/>
        </w:rPr>
        <w:t>společnosti.“</w:t>
      </w:r>
    </w:p>
    <w:p w:rsidR="005F3646" w:rsidRPr="00E0117B" w:rsidRDefault="005F3646" w:rsidP="00E0117B">
      <w:pPr>
        <w:pStyle w:val="Nadpis2"/>
      </w:pPr>
      <w:bookmarkStart w:id="2" w:name="_Toc123820394"/>
      <w:r w:rsidRPr="00E0117B">
        <w:t>Situace v</w:t>
      </w:r>
      <w:r w:rsidR="00C4537C">
        <w:t> </w:t>
      </w:r>
      <w:r w:rsidRPr="00E0117B">
        <w:t>ČR</w:t>
      </w:r>
      <w:bookmarkEnd w:id="2"/>
    </w:p>
    <w:bookmarkEnd w:id="1"/>
    <w:p w:rsidR="00C4537C" w:rsidRDefault="00C4537C" w:rsidP="008615D1">
      <w:pPr>
        <w:pStyle w:val="Odstavecseseznamem"/>
        <w:numPr>
          <w:ilvl w:val="0"/>
          <w:numId w:val="4"/>
        </w:numPr>
        <w:spacing w:line="276" w:lineRule="auto"/>
      </w:pPr>
      <w:r>
        <w:t xml:space="preserve">Úroveň čtenářské gramotnosti </w:t>
      </w:r>
      <w:r w:rsidR="008D6959">
        <w:t xml:space="preserve">se nezhoršuje, ani nezlepšuje - ČŠI identifikuje </w:t>
      </w:r>
      <w:r w:rsidRPr="008B4034">
        <w:t>stabilní vývoj ukazatel</w:t>
      </w:r>
      <w:r w:rsidR="008D6959">
        <w:t>ů</w:t>
      </w:r>
      <w:r w:rsidRPr="008B4034">
        <w:t xml:space="preserve"> průměrné úrovně </w:t>
      </w:r>
      <w:r w:rsidR="008D6959">
        <w:t>ČG</w:t>
      </w:r>
      <w:r w:rsidRPr="008B4034">
        <w:t xml:space="preserve"> českých žáků</w:t>
      </w:r>
      <w:r w:rsidR="008615D1">
        <w:t>.</w:t>
      </w:r>
    </w:p>
    <w:p w:rsidR="00C4537C" w:rsidRDefault="00C4537C" w:rsidP="008615D1">
      <w:pPr>
        <w:pStyle w:val="Odstavecseseznamem"/>
        <w:numPr>
          <w:ilvl w:val="0"/>
          <w:numId w:val="4"/>
        </w:numPr>
        <w:spacing w:line="276" w:lineRule="auto"/>
      </w:pPr>
      <w:r>
        <w:t>Relativně vysoký poměr žáků s nedostačující úr</w:t>
      </w:r>
      <w:r w:rsidR="00263227">
        <w:t>ovní čtenářské gramotnosti (</w:t>
      </w:r>
      <w:r>
        <w:t>24 % žáků 5</w:t>
      </w:r>
      <w:r w:rsidR="00263227">
        <w:t>. ročníku ZŠ a 17 % žáků 9. ročníku</w:t>
      </w:r>
      <w:r>
        <w:t xml:space="preserve"> ZŠ</w:t>
      </w:r>
      <w:r w:rsidR="00263227">
        <w:t xml:space="preserve"> dle testování ČŠI</w:t>
      </w:r>
      <w:r>
        <w:t>)</w:t>
      </w:r>
      <w:r w:rsidR="008615D1">
        <w:t>.</w:t>
      </w:r>
    </w:p>
    <w:p w:rsidR="00C4537C" w:rsidRDefault="00263227" w:rsidP="008615D1">
      <w:pPr>
        <w:pStyle w:val="Odstavecseseznamem"/>
        <w:numPr>
          <w:ilvl w:val="0"/>
          <w:numId w:val="4"/>
        </w:numPr>
        <w:spacing w:line="276" w:lineRule="auto"/>
      </w:pPr>
      <w:r>
        <w:t>Ve srovnání se zeměmi OE</w:t>
      </w:r>
      <w:r w:rsidR="00C4537C">
        <w:t>C</w:t>
      </w:r>
      <w:r>
        <w:t>D</w:t>
      </w:r>
      <w:r w:rsidR="00C4537C">
        <w:t xml:space="preserve"> jsou však čeští žáci stále nadprůměrní</w:t>
      </w:r>
      <w:r w:rsidR="008615D1">
        <w:t>.</w:t>
      </w:r>
    </w:p>
    <w:p w:rsidR="00C4537C" w:rsidRDefault="00C4537C" w:rsidP="008615D1">
      <w:pPr>
        <w:pStyle w:val="Odstavecseseznamem"/>
        <w:numPr>
          <w:ilvl w:val="0"/>
          <w:numId w:val="4"/>
        </w:numPr>
        <w:spacing w:line="276" w:lineRule="auto"/>
      </w:pPr>
      <w:r>
        <w:t>Přetrvává negativní postoj žáků ke čtení – dle výsledků ČŠI v 9. roč. ZŠ</w:t>
      </w:r>
      <w:r w:rsidR="00F56C59">
        <w:t xml:space="preserve"> 67 % chlapců uvedlo, že </w:t>
      </w:r>
      <w:r>
        <w:t>čtení nemá v oblibě.</w:t>
      </w:r>
    </w:p>
    <w:p w:rsidR="00C4537C" w:rsidRDefault="008615D1" w:rsidP="008615D1">
      <w:pPr>
        <w:pStyle w:val="Odstavecseseznamem"/>
        <w:numPr>
          <w:ilvl w:val="0"/>
          <w:numId w:val="4"/>
        </w:numPr>
        <w:spacing w:line="276" w:lineRule="auto"/>
      </w:pPr>
      <w:r>
        <w:t>Nízká úroveň čtenářské gramotnosti části žáků základních škol je zásadní problém, který žáky omezuje v efektivním studiu a z pohledu učitelů se jedná o zásadní překážku ve výuce.</w:t>
      </w:r>
    </w:p>
    <w:p w:rsidR="008615D1" w:rsidRDefault="008615D1" w:rsidP="008615D1">
      <w:pPr>
        <w:pStyle w:val="Odstavecseseznamem"/>
        <w:numPr>
          <w:ilvl w:val="0"/>
          <w:numId w:val="4"/>
        </w:numPr>
        <w:spacing w:after="120" w:line="276" w:lineRule="auto"/>
      </w:pPr>
      <w:r>
        <w:t xml:space="preserve">Žáci v kategorii s nejnižším </w:t>
      </w:r>
      <w:proofErr w:type="gramStart"/>
      <w:r>
        <w:t>SES</w:t>
      </w:r>
      <w:proofErr w:type="gramEnd"/>
      <w:r>
        <w:t>, jsou výrazně častěji zastoupeni v kategorii ned</w:t>
      </w:r>
      <w:r w:rsidR="000C007E">
        <w:t>ostačující úrovně ČG (</w:t>
      </w:r>
      <w:r>
        <w:t>významný vztah mezi SES žáků a jimi dosahovanými výsledky ve vzdělávání).</w:t>
      </w:r>
    </w:p>
    <w:p w:rsidR="008615D1" w:rsidRDefault="008615D1" w:rsidP="008615D1">
      <w:pPr>
        <w:pStyle w:val="Odstavecseseznamem"/>
        <w:numPr>
          <w:ilvl w:val="0"/>
          <w:numId w:val="4"/>
        </w:numPr>
        <w:spacing w:after="120" w:line="276" w:lineRule="auto"/>
      </w:pPr>
      <w:r w:rsidRPr="00F614BC">
        <w:t>Nejčastější formou č</w:t>
      </w:r>
      <w:r w:rsidR="00994134">
        <w:t xml:space="preserve">tenářských aktivit žáků </w:t>
      </w:r>
      <w:r w:rsidRPr="00F614BC">
        <w:t>je čtení a komunikace v online prostředí – čtení příspěvků na sociálních sítích a chat či aktivita v online diskusích</w:t>
      </w:r>
      <w:r w:rsidR="00994134">
        <w:t>.</w:t>
      </w:r>
    </w:p>
    <w:p w:rsidR="008615D1" w:rsidRPr="0047085E" w:rsidRDefault="008615D1" w:rsidP="008615D1">
      <w:pPr>
        <w:pStyle w:val="Odstavecseseznamem"/>
        <w:numPr>
          <w:ilvl w:val="0"/>
          <w:numId w:val="4"/>
        </w:numPr>
        <w:spacing w:after="120" w:line="276" w:lineRule="auto"/>
      </w:pPr>
      <w:r w:rsidRPr="0047085E">
        <w:t>Dle zpráv ČŠI (2022/2023) f</w:t>
      </w:r>
      <w:r w:rsidR="00994134" w:rsidRPr="0047085E">
        <w:t>unguje v 80 % základních škol školní knihovna či informační</w:t>
      </w:r>
      <w:r w:rsidR="00F56C59" w:rsidRPr="0047085E">
        <w:t xml:space="preserve"> a </w:t>
      </w:r>
      <w:r w:rsidRPr="0047085E">
        <w:t>studijní centrum.</w:t>
      </w:r>
    </w:p>
    <w:p w:rsidR="005F3646" w:rsidRDefault="005F3646" w:rsidP="00E0117B">
      <w:pPr>
        <w:pStyle w:val="Nadpis2"/>
      </w:pPr>
      <w:bookmarkStart w:id="3" w:name="_Toc123820395"/>
      <w:bookmarkStart w:id="4" w:name="_Hlk10454563"/>
      <w:r>
        <w:t>Situace v SO ORP Ústí nad Labem</w:t>
      </w:r>
      <w:bookmarkEnd w:id="3"/>
    </w:p>
    <w:bookmarkEnd w:id="4"/>
    <w:p w:rsidR="00C4537C" w:rsidRDefault="00C4537C" w:rsidP="00C4537C">
      <w:pPr>
        <w:pStyle w:val="Odstavecseseznamem"/>
        <w:numPr>
          <w:ilvl w:val="0"/>
          <w:numId w:val="3"/>
        </w:numPr>
        <w:spacing w:line="276" w:lineRule="auto"/>
      </w:pPr>
      <w:r>
        <w:t>Školy se aktivně zapojují do projektů na rozvoj čtenářské gramotnosti</w:t>
      </w:r>
      <w:r w:rsidR="00F56C59">
        <w:t>.</w:t>
      </w:r>
    </w:p>
    <w:p w:rsidR="00C4537C" w:rsidRDefault="00C4537C" w:rsidP="00D2441D">
      <w:pPr>
        <w:pStyle w:val="Odstavecseseznamem"/>
        <w:numPr>
          <w:ilvl w:val="0"/>
          <w:numId w:val="3"/>
        </w:numPr>
        <w:spacing w:line="276" w:lineRule="auto"/>
      </w:pPr>
      <w:r>
        <w:t>Probíhá spolupráce s knihovnami, realizace akcí a aktivity na posílení motivace žáků k četbě a aktualizováno vybavení jak v ZŠ, tak v</w:t>
      </w:r>
      <w:r w:rsidR="00F56C59">
        <w:t> </w:t>
      </w:r>
      <w:r>
        <w:t>MŠ</w:t>
      </w:r>
      <w:r w:rsidR="00F56C59">
        <w:t>.</w:t>
      </w:r>
    </w:p>
    <w:p w:rsidR="00C4537C" w:rsidRDefault="00C4537C" w:rsidP="00D2441D">
      <w:pPr>
        <w:pStyle w:val="Odstavecseseznamem"/>
        <w:numPr>
          <w:ilvl w:val="0"/>
          <w:numId w:val="3"/>
        </w:numPr>
        <w:spacing w:line="276" w:lineRule="auto"/>
      </w:pPr>
      <w:r>
        <w:t>Přetrvává klesající trend úrovně čtenářské gramotnosti žáků</w:t>
      </w:r>
      <w:r w:rsidR="00F56C59">
        <w:t>.</w:t>
      </w:r>
    </w:p>
    <w:p w:rsidR="00C4537C" w:rsidRDefault="00C4537C" w:rsidP="00D2441D">
      <w:pPr>
        <w:pStyle w:val="Odstavecseseznamem"/>
        <w:numPr>
          <w:ilvl w:val="0"/>
          <w:numId w:val="3"/>
        </w:numPr>
        <w:spacing w:line="276" w:lineRule="auto"/>
      </w:pPr>
      <w:r>
        <w:t>Žáci nerozumí psanému textu, mají ke čtení odpor</w:t>
      </w:r>
      <w:r w:rsidR="00F56C59">
        <w:t>.</w:t>
      </w:r>
    </w:p>
    <w:p w:rsidR="00C4537C" w:rsidRDefault="00C4537C" w:rsidP="00D2441D">
      <w:pPr>
        <w:pStyle w:val="Odstavecseseznamem"/>
        <w:numPr>
          <w:ilvl w:val="0"/>
          <w:numId w:val="3"/>
        </w:numPr>
        <w:spacing w:line="276" w:lineRule="auto"/>
      </w:pPr>
      <w:r>
        <w:t>Problematická spolupráce s některými rodiči (s dětmi doma nečtou, dítě následně zaostává</w:t>
      </w:r>
      <w:r w:rsidR="00F56C59">
        <w:t xml:space="preserve"> za </w:t>
      </w:r>
      <w:r>
        <w:t>kolektivem)</w:t>
      </w:r>
      <w:r w:rsidR="00F56C59">
        <w:t>.</w:t>
      </w:r>
    </w:p>
    <w:p w:rsidR="00C4537C" w:rsidRDefault="00C4537C" w:rsidP="00C4537C">
      <w:pPr>
        <w:pStyle w:val="Odstavecseseznamem"/>
        <w:numPr>
          <w:ilvl w:val="0"/>
          <w:numId w:val="3"/>
        </w:numPr>
        <w:spacing w:line="276" w:lineRule="auto"/>
      </w:pPr>
      <w:r>
        <w:t>Omezené možnosti školy pro motivaci rodičů, aby dětem doma četli</w:t>
      </w:r>
      <w:bookmarkStart w:id="5" w:name="_Toc123820396"/>
      <w:r w:rsidR="00F56C59">
        <w:t>.</w:t>
      </w:r>
    </w:p>
    <w:p w:rsidR="008615D1" w:rsidRDefault="008615D1" w:rsidP="008615D1">
      <w:pPr>
        <w:pStyle w:val="Nadpis2"/>
      </w:pPr>
      <w:r>
        <w:t>Potřeby aktérů vzdělávání/co se musí změnit, aby došlo k pozitivnímu posunu v oblasti?</w:t>
      </w:r>
    </w:p>
    <w:p w:rsidR="0047085E" w:rsidRPr="0047085E" w:rsidRDefault="0047085E" w:rsidP="0047085E">
      <w:pPr>
        <w:pStyle w:val="Odstavecseseznamem"/>
        <w:numPr>
          <w:ilvl w:val="0"/>
          <w:numId w:val="3"/>
        </w:numPr>
        <w:spacing w:line="276" w:lineRule="auto"/>
      </w:pPr>
      <w:r>
        <w:t>Zajištění</w:t>
      </w:r>
      <w:r w:rsidRPr="0047085E">
        <w:t xml:space="preserve"> finanční podpor</w:t>
      </w:r>
      <w:r>
        <w:t>y</w:t>
      </w:r>
      <w:r w:rsidRPr="0047085E">
        <w:t xml:space="preserve"> školních knihoven</w:t>
      </w:r>
      <w:r>
        <w:t xml:space="preserve"> a knihobudek (např. na obnovu a nákup knih).</w:t>
      </w:r>
    </w:p>
    <w:p w:rsidR="0099671D" w:rsidRDefault="0047085E" w:rsidP="0047085E">
      <w:pPr>
        <w:pStyle w:val="Odstavecseseznamem"/>
        <w:numPr>
          <w:ilvl w:val="0"/>
          <w:numId w:val="3"/>
        </w:numPr>
        <w:spacing w:line="276" w:lineRule="auto"/>
      </w:pPr>
      <w:r>
        <w:t>P</w:t>
      </w:r>
      <w:r w:rsidR="0099671D">
        <w:t xml:space="preserve">osílení osvěty rodičů – </w:t>
      </w:r>
      <w:r w:rsidR="00F90B76">
        <w:t>přednášky pro rodiče „</w:t>
      </w:r>
      <w:r w:rsidR="0099671D">
        <w:t>Proč číst dětem?</w:t>
      </w:r>
      <w:r w:rsidR="00F90B76">
        <w:t>“,</w:t>
      </w:r>
      <w:r w:rsidR="0099671D">
        <w:t xml:space="preserve"> </w:t>
      </w:r>
      <w:r w:rsidR="00F90B76">
        <w:t>„</w:t>
      </w:r>
      <w:r w:rsidR="0099671D">
        <w:t>Co všechno čtení přináš</w:t>
      </w:r>
      <w:r>
        <w:t>í v rámci rozvoje dítěte</w:t>
      </w:r>
      <w:r w:rsidR="00F90B76">
        <w:t>“</w:t>
      </w:r>
      <w:r>
        <w:t xml:space="preserve"> (např. </w:t>
      </w:r>
      <w:r w:rsidR="0099671D">
        <w:t>tip MŠ u Plavecké haly)</w:t>
      </w:r>
      <w:r>
        <w:t>.</w:t>
      </w:r>
    </w:p>
    <w:p w:rsidR="005F771E" w:rsidRDefault="0047085E" w:rsidP="0047085E">
      <w:pPr>
        <w:pStyle w:val="Odstavecseseznamem"/>
        <w:numPr>
          <w:ilvl w:val="0"/>
          <w:numId w:val="3"/>
        </w:numPr>
        <w:spacing w:line="276" w:lineRule="auto"/>
      </w:pPr>
      <w:r>
        <w:t xml:space="preserve">Zajištění dostatečné logopedické péče (v současnosti </w:t>
      </w:r>
      <w:r w:rsidR="0099671D">
        <w:t>nedostatek logopedů</w:t>
      </w:r>
      <w:r>
        <w:t>).</w:t>
      </w:r>
    </w:p>
    <w:p w:rsidR="0047085E" w:rsidRPr="0047085E" w:rsidRDefault="0047085E" w:rsidP="0047085E">
      <w:pPr>
        <w:pStyle w:val="Odstavecseseznamem"/>
        <w:numPr>
          <w:ilvl w:val="0"/>
          <w:numId w:val="3"/>
        </w:numPr>
        <w:spacing w:line="276" w:lineRule="auto"/>
      </w:pPr>
      <w:r>
        <w:lastRenderedPageBreak/>
        <w:t>Š</w:t>
      </w:r>
      <w:r w:rsidRPr="0047085E">
        <w:t>koly by uvítaly např. ze strany knihovny vytvoření databáze do</w:t>
      </w:r>
      <w:r w:rsidR="00A04D3A">
        <w:t>poručené literatury pro žáky 2. </w:t>
      </w:r>
      <w:r w:rsidRPr="0047085E">
        <w:t>stupně (gender četba, témata pro období puberty apod.)</w:t>
      </w:r>
      <w:r>
        <w:t>.</w:t>
      </w:r>
    </w:p>
    <w:p w:rsidR="00172584" w:rsidRDefault="00172584" w:rsidP="0047085E">
      <w:pPr>
        <w:pStyle w:val="Odstavecseseznamem"/>
        <w:numPr>
          <w:ilvl w:val="0"/>
          <w:numId w:val="3"/>
        </w:numPr>
        <w:spacing w:line="276" w:lineRule="auto"/>
      </w:pPr>
      <w:r>
        <w:t>Eliminovat dopady změny PHmax – zajištění tandemového učení, práce ve skupinách (osvědčuje se).</w:t>
      </w:r>
    </w:p>
    <w:p w:rsidR="005F771E" w:rsidRDefault="0047085E" w:rsidP="0047085E">
      <w:pPr>
        <w:pStyle w:val="Odstavecseseznamem"/>
        <w:numPr>
          <w:ilvl w:val="0"/>
          <w:numId w:val="3"/>
        </w:numPr>
        <w:spacing w:line="276" w:lineRule="auto"/>
      </w:pPr>
      <w:r>
        <w:t>S</w:t>
      </w:r>
      <w:r w:rsidR="005F771E" w:rsidRPr="0047085E">
        <w:t>ystémové financování osvědčených aktivit směrem k žákům (listování, soutěže atd.)</w:t>
      </w:r>
      <w:r>
        <w:t>.</w:t>
      </w:r>
    </w:p>
    <w:p w:rsidR="005F771E" w:rsidRDefault="00172584" w:rsidP="0076588F">
      <w:pPr>
        <w:pStyle w:val="Odstavecseseznamem"/>
        <w:numPr>
          <w:ilvl w:val="0"/>
          <w:numId w:val="3"/>
        </w:numPr>
        <w:spacing w:line="276" w:lineRule="auto"/>
      </w:pPr>
      <w:r>
        <w:t>P</w:t>
      </w:r>
      <w:r w:rsidR="005F771E" w:rsidRPr="0047085E">
        <w:t>otřebná podpora vzdělávání v „moderních“ didaktických formách, zajištění dostatečné nabídky</w:t>
      </w:r>
      <w:r>
        <w:t xml:space="preserve"> vhodných vzdělávacích aktivit (motivace a zvyšování kompetencí</w:t>
      </w:r>
      <w:r w:rsidR="005F771E" w:rsidRPr="0047085E">
        <w:t xml:space="preserve"> pedagogů</w:t>
      </w:r>
      <w:r>
        <w:t>).</w:t>
      </w:r>
    </w:p>
    <w:p w:rsidR="005F771E" w:rsidRPr="0047085E" w:rsidRDefault="00172584" w:rsidP="0047085E">
      <w:pPr>
        <w:pStyle w:val="Odstavecseseznamem"/>
        <w:numPr>
          <w:ilvl w:val="0"/>
          <w:numId w:val="3"/>
        </w:numPr>
        <w:spacing w:line="276" w:lineRule="auto"/>
      </w:pPr>
      <w:r>
        <w:t>Využívání vhodných didaktických materiálů – omezit pracovní sešity</w:t>
      </w:r>
      <w:r w:rsidR="005F771E" w:rsidRPr="0047085E">
        <w:t>, které omezují rozvoj</w:t>
      </w:r>
      <w:r>
        <w:t xml:space="preserve"> čtenářské gramotnosti.</w:t>
      </w:r>
    </w:p>
    <w:p w:rsidR="002F6DF1" w:rsidRDefault="002F6DF1" w:rsidP="0099671D">
      <w:pPr>
        <w:spacing w:line="276" w:lineRule="auto"/>
      </w:pPr>
      <w:r>
        <w:br w:type="page"/>
      </w:r>
    </w:p>
    <w:p w:rsidR="005F3646" w:rsidRPr="005F3646" w:rsidRDefault="005F3646" w:rsidP="00B57DB1">
      <w:pPr>
        <w:pStyle w:val="Nadpis1"/>
        <w:ind w:left="357" w:hanging="357"/>
      </w:pPr>
      <w:r w:rsidRPr="005F3646">
        <w:lastRenderedPageBreak/>
        <w:t>Informace o stávajícím stavu matematické gramotnosti</w:t>
      </w:r>
      <w:bookmarkEnd w:id="5"/>
    </w:p>
    <w:p w:rsidR="005F3646" w:rsidRDefault="005F3646" w:rsidP="008F3A06">
      <w:pPr>
        <w:spacing w:after="120" w:line="276" w:lineRule="auto"/>
        <w:rPr>
          <w:i/>
        </w:rPr>
      </w:pPr>
      <w:r>
        <w:rPr>
          <w:b/>
          <w:i/>
        </w:rPr>
        <w:t>„Matematická gramotnost</w:t>
      </w:r>
      <w:r>
        <w:rPr>
          <w:i/>
        </w:rPr>
        <w:t xml:space="preserve"> je schopnost jedince poznat a pochopit r</w:t>
      </w:r>
      <w:r w:rsidR="00DB318C">
        <w:rPr>
          <w:i/>
        </w:rPr>
        <w:t>oli, kterou hraje matematika ve </w:t>
      </w:r>
      <w:r>
        <w:rPr>
          <w:i/>
        </w:rPr>
        <w:t>světě, dělat dobře podložené úsudky a proniknout do matematiky tak, aby splňovala jeho životní potřeby, správný úsudek a konstruktivní rozhodování.“</w:t>
      </w:r>
    </w:p>
    <w:p w:rsidR="005F3646" w:rsidRDefault="005F3646" w:rsidP="008F3A06">
      <w:pPr>
        <w:pStyle w:val="Nadpis2"/>
        <w:spacing w:before="240" w:after="120"/>
        <w:rPr>
          <w:i/>
        </w:rPr>
      </w:pPr>
      <w:bookmarkStart w:id="6" w:name="_Toc123820397"/>
      <w:r>
        <w:t>Situace v ČR</w:t>
      </w:r>
      <w:bookmarkEnd w:id="6"/>
    </w:p>
    <w:p w:rsidR="008615D1" w:rsidRDefault="002F22AF" w:rsidP="008615D1">
      <w:pPr>
        <w:pStyle w:val="Odstavecseseznamem"/>
        <w:numPr>
          <w:ilvl w:val="0"/>
          <w:numId w:val="3"/>
        </w:numPr>
        <w:spacing w:line="276" w:lineRule="auto"/>
      </w:pPr>
      <w:r>
        <w:t>Negativní vnímání matematiky vysokým podílem žáků druhého stupně ZŠ, kteří často vyjadřují bezradnost či obavy v rámci její výuky.</w:t>
      </w:r>
    </w:p>
    <w:p w:rsidR="002F22AF" w:rsidRDefault="002F22AF" w:rsidP="008615D1">
      <w:pPr>
        <w:pStyle w:val="Odstavecseseznamem"/>
        <w:numPr>
          <w:ilvl w:val="0"/>
          <w:numId w:val="3"/>
        </w:numPr>
        <w:spacing w:line="276" w:lineRule="auto"/>
      </w:pPr>
      <w:r>
        <w:t>Opakovaně se ukazují vyšší problémy žáků 5. i 9. ročníků se zvládnutím učiva matematiky na 1. i 2. stupni školy.</w:t>
      </w:r>
    </w:p>
    <w:p w:rsidR="002F22AF" w:rsidRDefault="002F22AF" w:rsidP="008615D1">
      <w:pPr>
        <w:pStyle w:val="Odstavecseseznamem"/>
        <w:numPr>
          <w:ilvl w:val="0"/>
          <w:numId w:val="3"/>
        </w:numPr>
        <w:spacing w:line="276" w:lineRule="auto"/>
      </w:pPr>
      <w:r>
        <w:t>Výsledky českých žáků se nachází na průměru zemí OECD.</w:t>
      </w:r>
    </w:p>
    <w:p w:rsidR="002F22AF" w:rsidRDefault="002F22AF" w:rsidP="008615D1">
      <w:pPr>
        <w:pStyle w:val="Odstavecseseznamem"/>
        <w:numPr>
          <w:ilvl w:val="0"/>
          <w:numId w:val="3"/>
        </w:numPr>
        <w:spacing w:line="276" w:lineRule="auto"/>
      </w:pPr>
      <w:r>
        <w:t>Malé využívání inovativních metod ve výuce matematiky (stále přetrvává frontální výuka).</w:t>
      </w:r>
    </w:p>
    <w:p w:rsidR="002F22AF" w:rsidRDefault="002F22AF" w:rsidP="008615D1">
      <w:pPr>
        <w:pStyle w:val="Odstavecseseznamem"/>
        <w:numPr>
          <w:ilvl w:val="0"/>
          <w:numId w:val="3"/>
        </w:numPr>
        <w:spacing w:line="276" w:lineRule="auto"/>
      </w:pPr>
      <w:r>
        <w:t>Z</w:t>
      </w:r>
      <w:r w:rsidR="00872FEC">
        <w:t>ájem škol o zlepšení situace (o realizaci</w:t>
      </w:r>
      <w:r>
        <w:t xml:space="preserve"> nových metod výuky a formativního hodnocení</w:t>
      </w:r>
      <w:r w:rsidR="00872FEC">
        <w:t>)</w:t>
      </w:r>
      <w:r>
        <w:t>.</w:t>
      </w:r>
    </w:p>
    <w:p w:rsidR="005F3646" w:rsidRDefault="005F3646" w:rsidP="008F3A06">
      <w:pPr>
        <w:pStyle w:val="Nadpis2"/>
        <w:spacing w:before="240" w:after="120"/>
      </w:pPr>
      <w:bookmarkStart w:id="7" w:name="_Toc123820398"/>
      <w:r>
        <w:t>Situace v SO ORP Ústí nad Labem</w:t>
      </w:r>
      <w:bookmarkEnd w:id="7"/>
    </w:p>
    <w:p w:rsidR="008615D1" w:rsidRDefault="008615D1" w:rsidP="008615D1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</w:rPr>
      </w:pPr>
      <w:r>
        <w:rPr>
          <w:rFonts w:cstheme="minorHAnsi"/>
        </w:rPr>
        <w:t>Materiální zajištění výuky je hodnoceno kladně.</w:t>
      </w:r>
    </w:p>
    <w:p w:rsidR="008615D1" w:rsidRDefault="008615D1" w:rsidP="00282B15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</w:rPr>
      </w:pPr>
      <w:r w:rsidRPr="008615D1">
        <w:rPr>
          <w:rFonts w:cstheme="minorHAnsi"/>
        </w:rPr>
        <w:t>Probíhá spo</w:t>
      </w:r>
      <w:r w:rsidR="00872FEC">
        <w:rPr>
          <w:rFonts w:cstheme="minorHAnsi"/>
        </w:rPr>
        <w:t xml:space="preserve">lupráce s katedrou matematiky </w:t>
      </w:r>
      <w:proofErr w:type="spellStart"/>
      <w:r w:rsidR="00872FEC">
        <w:rPr>
          <w:rFonts w:cstheme="minorHAnsi"/>
        </w:rPr>
        <w:t>PřF</w:t>
      </w:r>
      <w:proofErr w:type="spellEnd"/>
      <w:r w:rsidRPr="008615D1">
        <w:rPr>
          <w:rFonts w:cstheme="minorHAnsi"/>
        </w:rPr>
        <w:t xml:space="preserve"> UJEP.</w:t>
      </w:r>
    </w:p>
    <w:p w:rsidR="008615D1" w:rsidRDefault="005F3646" w:rsidP="00282B15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</w:rPr>
      </w:pPr>
      <w:r w:rsidRPr="008615D1">
        <w:rPr>
          <w:rFonts w:cstheme="minorHAnsi"/>
        </w:rPr>
        <w:t>Školy se účastní matematických soutěží a probíhá zatraktivňování výuky (např. po</w:t>
      </w:r>
      <w:r w:rsidR="008615D1">
        <w:rPr>
          <w:rFonts w:cstheme="minorHAnsi"/>
        </w:rPr>
        <w:t>mocí logických her v hodinách).</w:t>
      </w:r>
    </w:p>
    <w:p w:rsidR="008615D1" w:rsidRDefault="005F771E" w:rsidP="00282B15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</w:rPr>
      </w:pPr>
      <w:r>
        <w:rPr>
          <w:rFonts w:cstheme="minorHAnsi"/>
        </w:rPr>
        <w:t>Pouze některé š</w:t>
      </w:r>
      <w:r w:rsidR="008615D1">
        <w:rPr>
          <w:rFonts w:cstheme="minorHAnsi"/>
        </w:rPr>
        <w:t>koly využívají</w:t>
      </w:r>
      <w:r>
        <w:rPr>
          <w:rFonts w:cstheme="minorHAnsi"/>
        </w:rPr>
        <w:t xml:space="preserve"> </w:t>
      </w:r>
      <w:r w:rsidR="005F3646" w:rsidRPr="008615D1">
        <w:rPr>
          <w:rFonts w:cstheme="minorHAnsi"/>
        </w:rPr>
        <w:t xml:space="preserve">další metody výuky (např. metoda Hejného). </w:t>
      </w:r>
    </w:p>
    <w:p w:rsidR="008615D1" w:rsidRDefault="008615D1" w:rsidP="008615D1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</w:rPr>
      </w:pPr>
      <w:r>
        <w:rPr>
          <w:rFonts w:cstheme="minorHAnsi"/>
        </w:rPr>
        <w:t>Rozvoj oblast</w:t>
      </w:r>
      <w:r w:rsidR="00872FEC">
        <w:rPr>
          <w:rFonts w:cstheme="minorHAnsi"/>
        </w:rPr>
        <w:t>i</w:t>
      </w:r>
      <w:r>
        <w:rPr>
          <w:rFonts w:cstheme="minorHAnsi"/>
        </w:rPr>
        <w:t xml:space="preserve"> díky </w:t>
      </w:r>
      <w:r w:rsidR="005F3646" w:rsidRPr="008615D1">
        <w:rPr>
          <w:rFonts w:cstheme="minorHAnsi"/>
        </w:rPr>
        <w:t>rea</w:t>
      </w:r>
      <w:r>
        <w:rPr>
          <w:rFonts w:cstheme="minorHAnsi"/>
        </w:rPr>
        <w:t xml:space="preserve">lizaci projektů Šablon – DVPP, rozšíření vybavení, realizace </w:t>
      </w:r>
      <w:r w:rsidR="005F3646" w:rsidRPr="008615D1">
        <w:rPr>
          <w:rFonts w:cstheme="minorHAnsi"/>
        </w:rPr>
        <w:t>inovativní</w:t>
      </w:r>
      <w:r>
        <w:rPr>
          <w:rFonts w:cstheme="minorHAnsi"/>
        </w:rPr>
        <w:t>ch metod</w:t>
      </w:r>
      <w:r w:rsidR="005F3646" w:rsidRPr="008615D1">
        <w:rPr>
          <w:rFonts w:cstheme="minorHAnsi"/>
        </w:rPr>
        <w:t xml:space="preserve"> a přístup</w:t>
      </w:r>
      <w:r>
        <w:rPr>
          <w:rFonts w:cstheme="minorHAnsi"/>
        </w:rPr>
        <w:t>ů</w:t>
      </w:r>
      <w:r w:rsidR="005F3646" w:rsidRPr="008615D1">
        <w:rPr>
          <w:rFonts w:cstheme="minorHAnsi"/>
        </w:rPr>
        <w:t xml:space="preserve">. </w:t>
      </w:r>
    </w:p>
    <w:p w:rsidR="005F3646" w:rsidRDefault="008615D1" w:rsidP="008615D1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</w:rPr>
      </w:pPr>
      <w:r>
        <w:rPr>
          <w:rFonts w:cstheme="minorHAnsi"/>
        </w:rPr>
        <w:t>Omezené personální možnosti</w:t>
      </w:r>
      <w:r w:rsidR="005F3646" w:rsidRPr="008615D1">
        <w:rPr>
          <w:rFonts w:cstheme="minorHAnsi"/>
        </w:rPr>
        <w:t xml:space="preserve"> (málo kvalitních p</w:t>
      </w:r>
      <w:r>
        <w:rPr>
          <w:rFonts w:cstheme="minorHAnsi"/>
        </w:rPr>
        <w:t>edagogů, kteří učí matematiku).</w:t>
      </w:r>
    </w:p>
    <w:p w:rsidR="00F56C59" w:rsidRDefault="00F56C59" w:rsidP="008F3A06">
      <w:pPr>
        <w:pStyle w:val="Nadpis2"/>
        <w:spacing w:before="240" w:after="120"/>
      </w:pPr>
      <w:r>
        <w:t>Potřeby aktérů vzdělávání/co se musí změnit, aby došlo k pozitivnímu posunu v oblasti?</w:t>
      </w:r>
    </w:p>
    <w:p w:rsidR="00172584" w:rsidRDefault="00172584" w:rsidP="00A04D3A">
      <w:pPr>
        <w:pStyle w:val="Odstavecseseznamem"/>
        <w:numPr>
          <w:ilvl w:val="0"/>
          <w:numId w:val="3"/>
        </w:numPr>
        <w:spacing w:line="276" w:lineRule="auto"/>
      </w:pPr>
      <w:r>
        <w:t>Kvalitní personální zajištění výuky matematiky a rozvoje matematické (</w:t>
      </w:r>
      <w:proofErr w:type="spellStart"/>
      <w:r>
        <w:t>pre</w:t>
      </w:r>
      <w:proofErr w:type="spellEnd"/>
      <w:r>
        <w:t>)gramotnosti (nedostatek absolventů PF pro obor matematiky).</w:t>
      </w:r>
    </w:p>
    <w:p w:rsidR="00172584" w:rsidRDefault="00172584" w:rsidP="00A04D3A">
      <w:pPr>
        <w:pStyle w:val="Odstavecseseznamem"/>
        <w:numPr>
          <w:ilvl w:val="0"/>
          <w:numId w:val="3"/>
        </w:numPr>
        <w:spacing w:line="276" w:lineRule="auto"/>
      </w:pPr>
      <w:r>
        <w:t>Zlepšit přípravu budoucích učitelů matematiky (</w:t>
      </w:r>
      <w:r w:rsidRPr="00172584">
        <w:t>nedostatečná</w:t>
      </w:r>
      <w:r>
        <w:t xml:space="preserve"> kvalita vzdělávání absolventů, kteří b</w:t>
      </w:r>
      <w:r w:rsidRPr="00172584">
        <w:t>y měli již přicházet s novými trendy a umět využívat moderní metody vzdělávání – aktivně měnit kulturu a způsob vzdělávání</w:t>
      </w:r>
      <w:r>
        <w:t xml:space="preserve">; </w:t>
      </w:r>
      <w:r w:rsidRPr="00172584">
        <w:t>vysoká fundovanost PŘF nepřináší dostatečný užitek do území</w:t>
      </w:r>
      <w:r>
        <w:t xml:space="preserve"> – </w:t>
      </w:r>
      <w:r w:rsidRPr="00172584">
        <w:t>vysoká vědecká úroveň n</w:t>
      </w:r>
      <w:r>
        <w:t>emá dopad do vzdělávací oblasti</w:t>
      </w:r>
      <w:r w:rsidR="00F90B76">
        <w:t>; vzor – Střední pedagogické škola v Mostě</w:t>
      </w:r>
      <w:r>
        <w:t>).</w:t>
      </w:r>
    </w:p>
    <w:p w:rsidR="00172584" w:rsidRDefault="00172584" w:rsidP="00A04D3A">
      <w:pPr>
        <w:pStyle w:val="Odstavecseseznamem"/>
        <w:numPr>
          <w:ilvl w:val="0"/>
          <w:numId w:val="3"/>
        </w:numPr>
        <w:spacing w:line="276" w:lineRule="auto"/>
      </w:pPr>
      <w:r>
        <w:t xml:space="preserve">Zlepšit přenos informací a spolupráci mezi ZŠ a UJEP, </w:t>
      </w:r>
      <w:r w:rsidRPr="00172584">
        <w:t>zajistit napl</w:t>
      </w:r>
      <w:r>
        <w:t>ňování relevantních požadavků z praxe.</w:t>
      </w:r>
    </w:p>
    <w:p w:rsidR="00172584" w:rsidRDefault="00172584" w:rsidP="00A04D3A">
      <w:pPr>
        <w:pStyle w:val="Odstavecseseznamem"/>
        <w:numPr>
          <w:ilvl w:val="0"/>
          <w:numId w:val="3"/>
        </w:numPr>
        <w:spacing w:line="276" w:lineRule="auto"/>
      </w:pPr>
      <w:r>
        <w:t>Systémové financování osvědčených pozic a aktivit, které jsou v současnosti financovány prostřednictvím projektů</w:t>
      </w:r>
      <w:r w:rsidR="008F3A06">
        <w:t xml:space="preserve">. </w:t>
      </w:r>
    </w:p>
    <w:p w:rsidR="008F3A06" w:rsidRDefault="008F3A06" w:rsidP="00A04D3A">
      <w:pPr>
        <w:pStyle w:val="Odstavecseseznamem"/>
        <w:numPr>
          <w:ilvl w:val="0"/>
          <w:numId w:val="3"/>
        </w:numPr>
        <w:spacing w:line="276" w:lineRule="auto"/>
      </w:pPr>
      <w:r>
        <w:t>Eliminovat dopady změny PHmax – zajištění individualizovaného vzdělávání, dělení hodin apod.</w:t>
      </w:r>
    </w:p>
    <w:p w:rsidR="002F22AF" w:rsidRPr="008F3A06" w:rsidRDefault="008F3A06" w:rsidP="00A04D3A">
      <w:pPr>
        <w:pStyle w:val="Odstavecseseznamem"/>
        <w:numPr>
          <w:ilvl w:val="0"/>
          <w:numId w:val="3"/>
        </w:numPr>
        <w:spacing w:line="259" w:lineRule="auto"/>
        <w:rPr>
          <w:rFonts w:cstheme="minorHAnsi"/>
        </w:rPr>
      </w:pPr>
      <w:r>
        <w:t xml:space="preserve">Realizace školení, sdílení dobré praxe, vzájemná inspirace pro zvýšení kreativity učitelů v daném tématu, osvěta </w:t>
      </w:r>
      <w:r w:rsidR="0099671D" w:rsidRPr="00172584">
        <w:t xml:space="preserve"> co vše spadá do oblasti matematické gramotnosti</w:t>
      </w:r>
      <w:r>
        <w:t xml:space="preserve"> </w:t>
      </w:r>
      <w:r w:rsidR="0099671D" w:rsidRPr="00172584">
        <w:t>(možné školení – tip na lektora - Univerzita Karlova – paní Kastlová)</w:t>
      </w:r>
      <w:r>
        <w:t>.</w:t>
      </w:r>
      <w:r w:rsidR="002F22AF" w:rsidRPr="008F3A06">
        <w:rPr>
          <w:rFonts w:cstheme="minorHAnsi"/>
        </w:rPr>
        <w:br w:type="page"/>
      </w:r>
    </w:p>
    <w:p w:rsidR="005F3646" w:rsidRPr="005F3646" w:rsidRDefault="005F3646" w:rsidP="00B57DB1">
      <w:pPr>
        <w:pStyle w:val="Nadpis1"/>
        <w:ind w:left="357" w:hanging="357"/>
      </w:pPr>
      <w:bookmarkStart w:id="8" w:name="_Toc123820399"/>
      <w:r w:rsidRPr="005F3646">
        <w:lastRenderedPageBreak/>
        <w:t>Informace o stávajícím stavu digitální gramotnosti</w:t>
      </w:r>
      <w:bookmarkEnd w:id="8"/>
    </w:p>
    <w:p w:rsidR="005F3646" w:rsidRDefault="005F3646" w:rsidP="005F3646">
      <w:pPr>
        <w:spacing w:before="360" w:line="276" w:lineRule="auto"/>
        <w:rPr>
          <w:i/>
        </w:rPr>
      </w:pPr>
      <w:r>
        <w:rPr>
          <w:b/>
          <w:i/>
        </w:rPr>
        <w:t xml:space="preserve">„Digitální gramotnost </w:t>
      </w:r>
      <w:r>
        <w:rPr>
          <w:i/>
        </w:rPr>
        <w:t>je soubor jednotlivých (digitálních) kompet</w:t>
      </w:r>
      <w:r w:rsidR="00DB318C">
        <w:rPr>
          <w:i/>
        </w:rPr>
        <w:t>encí, které jedinec potřebuje k </w:t>
      </w:r>
      <w:r>
        <w:rPr>
          <w:i/>
        </w:rPr>
        <w:t>bezpečnému, sebejistému, kritickému a tvořivému využívání digitálních technologií při práci, při učení, ve volném čase i při svém zapojení do společenského života. Digitální kompetence jsou chápány jako průřezové klíčové kompetence, bez kterých není možné rozvíjet u žáků plnohodnotně další klíčové kompetence, které jsou potřebné k aktivnímu uplatnění ve společnosti a na trhu práce.“</w:t>
      </w:r>
    </w:p>
    <w:p w:rsidR="005F3646" w:rsidRDefault="005F3646" w:rsidP="00F216CD">
      <w:pPr>
        <w:pStyle w:val="Nadpis2"/>
        <w:spacing w:before="240" w:after="120"/>
        <w:rPr>
          <w:i/>
          <w:color w:val="FF0000"/>
        </w:rPr>
      </w:pPr>
      <w:bookmarkStart w:id="9" w:name="_Toc123820400"/>
      <w:r>
        <w:t>Situace v</w:t>
      </w:r>
      <w:r w:rsidR="002F22AF">
        <w:t> </w:t>
      </w:r>
      <w:r>
        <w:t>ČR</w:t>
      </w:r>
      <w:bookmarkEnd w:id="9"/>
    </w:p>
    <w:p w:rsidR="002F22AF" w:rsidRDefault="00361478" w:rsidP="002F22AF">
      <w:pPr>
        <w:pStyle w:val="Odstavecseseznamem"/>
        <w:numPr>
          <w:ilvl w:val="0"/>
          <w:numId w:val="3"/>
        </w:numPr>
        <w:spacing w:line="276" w:lineRule="auto"/>
      </w:pPr>
      <w:r>
        <w:t>Implementace revize RVP v oblasti rozvoje digitální gramotnosti/digitálních kompetencí.</w:t>
      </w:r>
    </w:p>
    <w:p w:rsidR="00361478" w:rsidRDefault="00361478" w:rsidP="002F22AF">
      <w:pPr>
        <w:pStyle w:val="Odstavecseseznamem"/>
        <w:numPr>
          <w:ilvl w:val="0"/>
          <w:numId w:val="3"/>
        </w:numPr>
        <w:spacing w:line="276" w:lineRule="auto"/>
      </w:pPr>
      <w:r>
        <w:t>Ne vždy dostatečné kompetence pracovníků pro efektivní využití ICT.</w:t>
      </w:r>
    </w:p>
    <w:p w:rsidR="00F216CD" w:rsidRDefault="00F216CD" w:rsidP="002F22AF">
      <w:pPr>
        <w:pStyle w:val="Odstavecseseznamem"/>
        <w:numPr>
          <w:ilvl w:val="0"/>
          <w:numId w:val="3"/>
        </w:numPr>
        <w:spacing w:line="276" w:lineRule="auto"/>
      </w:pPr>
      <w:r>
        <w:t>Šetření ČŠI odhalilo negativní vliv vysoké míry využívání ICT ve výuce na výsledky žáků (nutnost přiměřeného přístupu).</w:t>
      </w:r>
    </w:p>
    <w:p w:rsidR="00361478" w:rsidRDefault="00361478" w:rsidP="002F22AF">
      <w:pPr>
        <w:pStyle w:val="Odstavecseseznamem"/>
        <w:numPr>
          <w:ilvl w:val="0"/>
          <w:numId w:val="3"/>
        </w:numPr>
        <w:spacing w:line="276" w:lineRule="auto"/>
      </w:pPr>
      <w:r>
        <w:t>Ve srovnání se zeměmi OECD je ČR v této oblasti hodnocena podprůměrně.</w:t>
      </w:r>
    </w:p>
    <w:p w:rsidR="00361478" w:rsidRDefault="00361478" w:rsidP="007D6974">
      <w:pPr>
        <w:pStyle w:val="Odstavecseseznamem"/>
        <w:numPr>
          <w:ilvl w:val="0"/>
          <w:numId w:val="3"/>
        </w:numPr>
        <w:spacing w:line="276" w:lineRule="auto"/>
      </w:pPr>
      <w:r>
        <w:t>Problémy s dostupností ICT a zajištění konektivity budov.</w:t>
      </w:r>
    </w:p>
    <w:p w:rsidR="005F3646" w:rsidRDefault="005F3646" w:rsidP="00F216CD">
      <w:pPr>
        <w:pStyle w:val="Nadpis2"/>
        <w:spacing w:before="240" w:after="120"/>
      </w:pPr>
      <w:bookmarkStart w:id="10" w:name="_Toc123820401"/>
      <w:r>
        <w:t>Situace v SO ORP Ústí nad Labem</w:t>
      </w:r>
      <w:bookmarkEnd w:id="10"/>
    </w:p>
    <w:p w:rsidR="00361478" w:rsidRDefault="00361478" w:rsidP="00361478">
      <w:pPr>
        <w:pStyle w:val="Odstavecseseznamem"/>
        <w:numPr>
          <w:ilvl w:val="0"/>
          <w:numId w:val="3"/>
        </w:numPr>
        <w:spacing w:line="276" w:lineRule="auto"/>
      </w:pPr>
      <w:r>
        <w:t>Zlepšení materiálního vybavení škol v minulých letech (podpora škol v rámci Šablon a NPO).</w:t>
      </w:r>
    </w:p>
    <w:p w:rsidR="00361478" w:rsidRDefault="00361478" w:rsidP="0077512E">
      <w:pPr>
        <w:pStyle w:val="Odstavecseseznamem"/>
        <w:numPr>
          <w:ilvl w:val="0"/>
          <w:numId w:val="3"/>
        </w:numPr>
        <w:spacing w:line="276" w:lineRule="auto"/>
      </w:pPr>
      <w:r w:rsidRPr="00361478">
        <w:t>Zvyšující se znalost pedagogů volně dostupných, bezpečných, ot</w:t>
      </w:r>
      <w:r w:rsidR="0004189E">
        <w:t>evřených internetových zdrojů a </w:t>
      </w:r>
      <w:r w:rsidRPr="00361478">
        <w:t>jejich využívání při výuce</w:t>
      </w:r>
      <w:r>
        <w:t>.</w:t>
      </w:r>
    </w:p>
    <w:p w:rsidR="00361478" w:rsidRDefault="00361478" w:rsidP="00361478">
      <w:pPr>
        <w:pStyle w:val="Odstavecseseznamem"/>
        <w:numPr>
          <w:ilvl w:val="0"/>
          <w:numId w:val="3"/>
        </w:numPr>
        <w:spacing w:line="276" w:lineRule="auto"/>
      </w:pPr>
      <w:r>
        <w:t>Školení pro pedagogy v rámci využívání ICT a inovativních metod ve výuce (</w:t>
      </w:r>
      <w:r w:rsidRPr="00872FEC">
        <w:rPr>
          <w:i/>
        </w:rPr>
        <w:t>zašt</w:t>
      </w:r>
      <w:r w:rsidR="00872FEC">
        <w:rPr>
          <w:i/>
        </w:rPr>
        <w:t>iť</w:t>
      </w:r>
      <w:r w:rsidRPr="00872FEC">
        <w:rPr>
          <w:i/>
        </w:rPr>
        <w:t>uje MŠ Vojanova v Ústí nad Labem</w:t>
      </w:r>
      <w:r>
        <w:t>).</w:t>
      </w:r>
    </w:p>
    <w:p w:rsidR="005F3646" w:rsidRDefault="00361478" w:rsidP="0059648A">
      <w:pPr>
        <w:pStyle w:val="Odstavecseseznamem"/>
        <w:numPr>
          <w:ilvl w:val="0"/>
          <w:numId w:val="3"/>
        </w:numPr>
        <w:spacing w:line="276" w:lineRule="auto"/>
      </w:pPr>
      <w:r>
        <w:t xml:space="preserve">Nedostatek financí a </w:t>
      </w:r>
      <w:r w:rsidR="005F3646">
        <w:t>kvalitn</w:t>
      </w:r>
      <w:r>
        <w:t>ího personálního zajištění pro další rozvoj DG ve školách (a efektivního využití ICT).</w:t>
      </w:r>
    </w:p>
    <w:p w:rsidR="00361478" w:rsidRDefault="00361478" w:rsidP="0059648A">
      <w:pPr>
        <w:pStyle w:val="Odstavecseseznamem"/>
        <w:numPr>
          <w:ilvl w:val="0"/>
          <w:numId w:val="3"/>
        </w:numPr>
        <w:spacing w:line="276" w:lineRule="auto"/>
      </w:pPr>
      <w:r>
        <w:t>Podobně jako na úrovni ČR přetrvává v některých školách problém nedostatečné konektivity.</w:t>
      </w:r>
    </w:p>
    <w:p w:rsidR="00F56C59" w:rsidRDefault="00F56C59" w:rsidP="00F216CD">
      <w:pPr>
        <w:pStyle w:val="Nadpis2"/>
        <w:spacing w:before="240" w:after="120"/>
      </w:pPr>
      <w:r>
        <w:t>Potřeby aktérů vzdělávání/co se musí změnit, aby došlo k pozitivnímu posunu v oblasti?</w:t>
      </w:r>
    </w:p>
    <w:p w:rsidR="00ED4243" w:rsidRDefault="0004189E" w:rsidP="0004189E">
      <w:pPr>
        <w:pStyle w:val="Odstavecseseznamem"/>
        <w:numPr>
          <w:ilvl w:val="0"/>
          <w:numId w:val="3"/>
        </w:numPr>
        <w:spacing w:line="276" w:lineRule="auto"/>
      </w:pPr>
      <w:r>
        <w:t xml:space="preserve">Zajištění pravidelných školení pedagogů </w:t>
      </w:r>
      <w:r w:rsidR="00ED4243" w:rsidRPr="008F3A06">
        <w:t>– problém finanční náročnosti</w:t>
      </w:r>
      <w:r>
        <w:t xml:space="preserve"> (ideálně systémové financování)</w:t>
      </w:r>
      <w:r w:rsidR="00ED4243" w:rsidRPr="008F3A06">
        <w:t xml:space="preserve"> a časových možností</w:t>
      </w:r>
      <w:r>
        <w:t>.</w:t>
      </w:r>
    </w:p>
    <w:p w:rsidR="0004189E" w:rsidRDefault="0004189E" w:rsidP="0004189E">
      <w:pPr>
        <w:pStyle w:val="Odstavecseseznamem"/>
        <w:numPr>
          <w:ilvl w:val="0"/>
          <w:numId w:val="3"/>
        </w:numPr>
        <w:spacing w:line="276" w:lineRule="auto"/>
      </w:pPr>
      <w:r>
        <w:t>Zajištění financování na obnovu techniky/zajištění servisu atd. (udržitelnost technologie</w:t>
      </w:r>
      <w:r w:rsidR="00DC0F87">
        <w:t xml:space="preserve"> – systémové financování – </w:t>
      </w:r>
      <w:r w:rsidR="00DC0F87" w:rsidRPr="008F3A06">
        <w:t>komplikace při cíleném určení nové tec</w:t>
      </w:r>
      <w:r w:rsidR="00DC0F87">
        <w:t>hniky/nárazové zdroje např. pro </w:t>
      </w:r>
      <w:r w:rsidR="00DC0F87" w:rsidRPr="008F3A06">
        <w:t>znevýhodněné žáky (om</w:t>
      </w:r>
      <w:r w:rsidR="00DC0F87">
        <w:t>ezené možnosti využití techniky</w:t>
      </w:r>
      <w:r>
        <w:t>).</w:t>
      </w:r>
    </w:p>
    <w:p w:rsidR="0004189E" w:rsidRDefault="0004189E" w:rsidP="0004189E">
      <w:pPr>
        <w:pStyle w:val="Odstavecseseznamem"/>
        <w:numPr>
          <w:ilvl w:val="0"/>
          <w:numId w:val="3"/>
        </w:numPr>
        <w:spacing w:line="276" w:lineRule="auto"/>
      </w:pPr>
      <w:r>
        <w:t>Zajištění dostatečné konektivity</w:t>
      </w:r>
      <w:r w:rsidR="00DC0F87">
        <w:t xml:space="preserve"> školních budov.</w:t>
      </w:r>
    </w:p>
    <w:p w:rsidR="0004189E" w:rsidRDefault="0004189E" w:rsidP="0004189E">
      <w:pPr>
        <w:pStyle w:val="Odstavecseseznamem"/>
        <w:numPr>
          <w:ilvl w:val="0"/>
          <w:numId w:val="3"/>
        </w:numPr>
        <w:spacing w:line="276" w:lineRule="auto"/>
      </w:pPr>
      <w:r>
        <w:t>P</w:t>
      </w:r>
      <w:r w:rsidRPr="008F3A06">
        <w:t>osílení nezbytné osvěty žáků i pedagogů (sociální sítě +</w:t>
      </w:r>
      <w:r>
        <w:t xml:space="preserve"> bezpečnost).</w:t>
      </w:r>
    </w:p>
    <w:p w:rsidR="0004189E" w:rsidRDefault="0004189E" w:rsidP="00067E02">
      <w:pPr>
        <w:pStyle w:val="Odstavecseseznamem"/>
        <w:numPr>
          <w:ilvl w:val="0"/>
          <w:numId w:val="3"/>
        </w:numPr>
        <w:spacing w:line="276" w:lineRule="auto"/>
      </w:pPr>
      <w:r>
        <w:t xml:space="preserve">Sdílení dobré praxe v oblasti </w:t>
      </w:r>
      <w:r w:rsidRPr="008F3A06">
        <w:t xml:space="preserve">nabídky školení/seminářů atd. </w:t>
      </w:r>
      <w:r>
        <w:t xml:space="preserve">(velké a nepřehledné množství, </w:t>
      </w:r>
      <w:r w:rsidRPr="008F3A06">
        <w:t>návrhy: Klatovský Microsoft, Technologická gramotnost – 3D tisk)</w:t>
      </w:r>
      <w:r>
        <w:t>.</w:t>
      </w:r>
    </w:p>
    <w:p w:rsidR="008305F9" w:rsidRDefault="00DC0F87" w:rsidP="00F83B1F">
      <w:pPr>
        <w:pStyle w:val="Odstavecseseznamem"/>
        <w:numPr>
          <w:ilvl w:val="0"/>
          <w:numId w:val="3"/>
        </w:numPr>
        <w:spacing w:line="276" w:lineRule="auto"/>
      </w:pPr>
      <w:r>
        <w:t>Rozvoj</w:t>
      </w:r>
      <w:r w:rsidR="00F90B76">
        <w:t xml:space="preserve"> a využití</w:t>
      </w:r>
      <w:r>
        <w:t xml:space="preserve"> </w:t>
      </w:r>
      <w:r w:rsidRPr="008F3A06">
        <w:t xml:space="preserve">spolupráce s UJEP, </w:t>
      </w:r>
      <w:r>
        <w:t xml:space="preserve">s </w:t>
      </w:r>
      <w:r w:rsidRPr="008F3A06">
        <w:t>D</w:t>
      </w:r>
      <w:r>
        <w:t>DM</w:t>
      </w:r>
      <w:r w:rsidRPr="008F3A06">
        <w:t xml:space="preserve"> – technické kroužky, technický klub v rámci běžné výuky</w:t>
      </w:r>
      <w:r>
        <w:t>.</w:t>
      </w:r>
    </w:p>
    <w:p w:rsidR="005F3646" w:rsidRPr="002F6DF1" w:rsidRDefault="008305F9" w:rsidP="00E43277">
      <w:pPr>
        <w:pStyle w:val="Odstavecseseznamem"/>
        <w:numPr>
          <w:ilvl w:val="0"/>
          <w:numId w:val="3"/>
        </w:numPr>
        <w:spacing w:after="0" w:line="276" w:lineRule="auto"/>
      </w:pPr>
      <w:r>
        <w:t xml:space="preserve">Zlepšit průpravu pedagogů – vysoké nároky na přípravu výuky </w:t>
      </w:r>
      <w:r w:rsidR="00F90B76">
        <w:t xml:space="preserve">– zajištění </w:t>
      </w:r>
      <w:r w:rsidR="00ED4243" w:rsidRPr="008F3A06">
        <w:t>kvalitní školení – např. Malá technická univerzita)</w:t>
      </w:r>
      <w:r w:rsidR="00DC0F87">
        <w:t>.</w:t>
      </w:r>
    </w:p>
    <w:p w:rsidR="00361478" w:rsidRPr="002F6DF1" w:rsidRDefault="00361478">
      <w:pPr>
        <w:spacing w:line="259" w:lineRule="auto"/>
        <w:jc w:val="left"/>
      </w:pPr>
      <w:r w:rsidRPr="002F6DF1">
        <w:br w:type="page"/>
      </w:r>
    </w:p>
    <w:p w:rsidR="005F3646" w:rsidRPr="005F3646" w:rsidRDefault="005F3646" w:rsidP="00B57DB1">
      <w:pPr>
        <w:pStyle w:val="Nadpis1"/>
        <w:ind w:left="357" w:hanging="357"/>
      </w:pPr>
      <w:bookmarkStart w:id="11" w:name="_Toc123820402"/>
      <w:r w:rsidRPr="00E0117B">
        <w:lastRenderedPageBreak/>
        <w:t>Inkluzivita</w:t>
      </w:r>
      <w:r w:rsidRPr="005F3646">
        <w:t xml:space="preserve"> – rovné příležitosti</w:t>
      </w:r>
      <w:bookmarkEnd w:id="11"/>
    </w:p>
    <w:p w:rsidR="005F3646" w:rsidRPr="00392F5A" w:rsidRDefault="005F3646" w:rsidP="005F3646">
      <w:pPr>
        <w:spacing w:line="276" w:lineRule="auto"/>
        <w:rPr>
          <w:i/>
        </w:rPr>
      </w:pPr>
      <w:r w:rsidRPr="00392F5A">
        <w:rPr>
          <w:i/>
        </w:rPr>
        <w:t xml:space="preserve">„Základním principem </w:t>
      </w:r>
      <w:r w:rsidRPr="00392F5A">
        <w:rPr>
          <w:b/>
          <w:i/>
        </w:rPr>
        <w:t>inkluzivního vzdělávání</w:t>
      </w:r>
      <w:r w:rsidRPr="00392F5A">
        <w:rPr>
          <w:i/>
        </w:rPr>
        <w:t xml:space="preserve"> je dostupnost rovných vzdělávacích příležitostí. Společné vzdělávání předpokládá vzdělávání všech dětí a žáků společně v běžných školách s výjimkou dětí a žáků uvedených v § 16 odst. 9 školského zákona. Inkluzivní vzdělávání by mělo v praxi umožňovat naplnění potenciálu každého dítěte vedoucí k osobnímu rozvoji a spokojenému životu ve společnosti.“</w:t>
      </w:r>
    </w:p>
    <w:p w:rsidR="005F3646" w:rsidRDefault="005F3646" w:rsidP="00E0117B">
      <w:pPr>
        <w:pStyle w:val="Nadpis2"/>
        <w:rPr>
          <w:i/>
          <w:color w:val="FF0000"/>
        </w:rPr>
      </w:pPr>
      <w:bookmarkStart w:id="12" w:name="_Toc123820403"/>
      <w:r>
        <w:t>Situace v</w:t>
      </w:r>
      <w:r w:rsidR="00361478">
        <w:t> </w:t>
      </w:r>
      <w:r>
        <w:t>ČR</w:t>
      </w:r>
      <w:bookmarkEnd w:id="12"/>
    </w:p>
    <w:p w:rsidR="00361478" w:rsidRPr="00361478" w:rsidRDefault="00361478" w:rsidP="00361478">
      <w:pPr>
        <w:pStyle w:val="Odstavecseseznamem"/>
        <w:numPr>
          <w:ilvl w:val="0"/>
          <w:numId w:val="3"/>
        </w:numPr>
        <w:spacing w:line="276" w:lineRule="auto"/>
      </w:pPr>
      <w:r>
        <w:t>Nízká míra individualizace vzdělávání podle potřeb žáků</w:t>
      </w:r>
      <w:r w:rsidRPr="00361478">
        <w:t>.</w:t>
      </w:r>
    </w:p>
    <w:p w:rsidR="00361478" w:rsidRDefault="00361478" w:rsidP="00361478">
      <w:pPr>
        <w:pStyle w:val="Odstavecseseznamem"/>
        <w:numPr>
          <w:ilvl w:val="0"/>
          <w:numId w:val="3"/>
        </w:numPr>
        <w:spacing w:line="276" w:lineRule="auto"/>
      </w:pPr>
      <w:r>
        <w:t>V mezinárodním srovnání má podle OECD Česká republika druhý nejvyšší dopad sociálně-ekonomického zázemí školy na školní výsledky žáků (konkrétně viz ČG).</w:t>
      </w:r>
    </w:p>
    <w:p w:rsidR="00361478" w:rsidRDefault="00361478" w:rsidP="005F3646">
      <w:pPr>
        <w:pStyle w:val="Odstavecseseznamem"/>
        <w:numPr>
          <w:ilvl w:val="0"/>
          <w:numId w:val="3"/>
        </w:numPr>
        <w:spacing w:line="276" w:lineRule="auto"/>
      </w:pPr>
      <w:r>
        <w:t>Velké rozdíly mezi jednotlivými školami v důsledku složení žáků/spádových oblastí škol.</w:t>
      </w:r>
    </w:p>
    <w:p w:rsidR="00361478" w:rsidRDefault="00361478" w:rsidP="005F3646">
      <w:pPr>
        <w:pStyle w:val="Odstavecseseznamem"/>
        <w:numPr>
          <w:ilvl w:val="0"/>
          <w:numId w:val="3"/>
        </w:numPr>
        <w:spacing w:line="276" w:lineRule="auto"/>
      </w:pPr>
      <w:r>
        <w:t>Ž</w:t>
      </w:r>
      <w:r w:rsidR="005F3646">
        <w:t>áci s podnětným rodinným zázemím dosahují ve školách dobrých výsledků, žáci s méně podnětným ro</w:t>
      </w:r>
      <w:r w:rsidR="004B7653">
        <w:t xml:space="preserve">dinným zázemím horších výsledků. </w:t>
      </w:r>
    </w:p>
    <w:p w:rsidR="00361478" w:rsidRDefault="00805A38" w:rsidP="005F3646">
      <w:pPr>
        <w:pStyle w:val="Odstavecseseznamem"/>
        <w:numPr>
          <w:ilvl w:val="0"/>
          <w:numId w:val="3"/>
        </w:numPr>
        <w:spacing w:line="276" w:lineRule="auto"/>
      </w:pPr>
      <w:r w:rsidRPr="00805A38">
        <w:t>ČŠI ukazuje na problém nedostatečné identifikace</w:t>
      </w:r>
      <w:r w:rsidR="002F6DF1">
        <w:t xml:space="preserve"> a podpory</w:t>
      </w:r>
      <w:r w:rsidRPr="00805A38">
        <w:t xml:space="preserve"> nadaných a mimořádně nadaných žáků. </w:t>
      </w:r>
    </w:p>
    <w:p w:rsidR="002F6DF1" w:rsidRDefault="002F6DF1" w:rsidP="005F3646">
      <w:pPr>
        <w:pStyle w:val="Odstavecseseznamem"/>
        <w:numPr>
          <w:ilvl w:val="0"/>
          <w:numId w:val="3"/>
        </w:numPr>
        <w:spacing w:line="276" w:lineRule="auto"/>
      </w:pPr>
      <w:r>
        <w:t>Nízká míra kvalifikace pedagogů pro identifikaci a práci s nadanými dětmi/žáky.</w:t>
      </w:r>
    </w:p>
    <w:p w:rsidR="002F6DF1" w:rsidRDefault="002F6DF1" w:rsidP="005F3646">
      <w:pPr>
        <w:pStyle w:val="Odstavecseseznamem"/>
        <w:numPr>
          <w:ilvl w:val="0"/>
          <w:numId w:val="3"/>
        </w:numPr>
        <w:spacing w:line="276" w:lineRule="auto"/>
      </w:pPr>
      <w:r>
        <w:t xml:space="preserve">Pozitivní </w:t>
      </w:r>
      <w:r w:rsidR="004B7653">
        <w:t>hodnocen</w:t>
      </w:r>
      <w:r>
        <w:t>í</w:t>
      </w:r>
      <w:r w:rsidR="00DB318C">
        <w:t xml:space="preserve"> systém</w:t>
      </w:r>
      <w:r>
        <w:t>u</w:t>
      </w:r>
      <w:r w:rsidR="00DB318C">
        <w:t xml:space="preserve"> </w:t>
      </w:r>
      <w:r w:rsidR="004B7653">
        <w:t>poradenských služeb a </w:t>
      </w:r>
      <w:r w:rsidR="00DB318C">
        <w:t xml:space="preserve">podpůrných opatření, výraznou podporu ve výuce poskytují žákům se SVP asistenti pedagoga. </w:t>
      </w:r>
    </w:p>
    <w:p w:rsidR="002F6DF1" w:rsidRDefault="002F6DF1" w:rsidP="005F3646">
      <w:pPr>
        <w:pStyle w:val="Odstavecseseznamem"/>
        <w:numPr>
          <w:ilvl w:val="0"/>
          <w:numId w:val="3"/>
        </w:numPr>
        <w:spacing w:line="276" w:lineRule="auto"/>
      </w:pPr>
      <w:r>
        <w:t>Postupné zlepšování úrovně logopedické prevence v MŠ.</w:t>
      </w:r>
    </w:p>
    <w:p w:rsidR="005F3646" w:rsidRPr="00DB318C" w:rsidRDefault="005F3646" w:rsidP="005F3646">
      <w:pPr>
        <w:pStyle w:val="Odstavecseseznamem"/>
        <w:numPr>
          <w:ilvl w:val="0"/>
          <w:numId w:val="3"/>
        </w:numPr>
        <w:spacing w:line="276" w:lineRule="auto"/>
      </w:pPr>
      <w:r>
        <w:t>Činnost speciá</w:t>
      </w:r>
      <w:r w:rsidR="004B7653">
        <w:t>lních škol a vzdělávání dětí ve </w:t>
      </w:r>
      <w:r>
        <w:t xml:space="preserve">speciálních třídách je hodnocena ČŠI velice kladně. </w:t>
      </w:r>
    </w:p>
    <w:p w:rsidR="005F3646" w:rsidRDefault="005F3646" w:rsidP="00E0117B">
      <w:pPr>
        <w:pStyle w:val="Nadpis2"/>
      </w:pPr>
      <w:bookmarkStart w:id="13" w:name="_Toc123820404"/>
      <w:r>
        <w:t>Situace v SO ORP Ústí nad Labem</w:t>
      </w:r>
      <w:bookmarkEnd w:id="13"/>
    </w:p>
    <w:p w:rsidR="002F6DF1" w:rsidRDefault="002F6DF1" w:rsidP="005F3646">
      <w:pPr>
        <w:pStyle w:val="Odstavecseseznamem"/>
        <w:numPr>
          <w:ilvl w:val="0"/>
          <w:numId w:val="3"/>
        </w:numPr>
        <w:spacing w:line="276" w:lineRule="auto"/>
      </w:pPr>
      <w:r>
        <w:t>Podobně jako na úrovni ČR – rozdíly mezi jednotlivými školami.</w:t>
      </w:r>
    </w:p>
    <w:p w:rsidR="002F6DF1" w:rsidRDefault="002F6DF1" w:rsidP="002F6DF1">
      <w:pPr>
        <w:pStyle w:val="Odstavecseseznamem"/>
        <w:numPr>
          <w:ilvl w:val="0"/>
          <w:numId w:val="3"/>
        </w:numPr>
        <w:spacing w:line="276" w:lineRule="auto"/>
      </w:pPr>
      <w:r>
        <w:rPr>
          <w:rFonts w:cstheme="minorHAnsi"/>
        </w:rPr>
        <w:t>V</w:t>
      </w:r>
      <w:r w:rsidRPr="002F6DF1">
        <w:rPr>
          <w:rFonts w:cstheme="minorHAnsi"/>
        </w:rPr>
        <w:t>elký počet žáků se SVP v jednotlivých třídách.</w:t>
      </w:r>
    </w:p>
    <w:p w:rsidR="002F6DF1" w:rsidRDefault="005F3646" w:rsidP="005F3646">
      <w:pPr>
        <w:pStyle w:val="Odstavecseseznamem"/>
        <w:numPr>
          <w:ilvl w:val="0"/>
          <w:numId w:val="3"/>
        </w:numPr>
        <w:spacing w:line="276" w:lineRule="auto"/>
      </w:pPr>
      <w:r>
        <w:t>Pozitivní je zapojení</w:t>
      </w:r>
      <w:r w:rsidR="002F6DF1">
        <w:t xml:space="preserve"> a využití</w:t>
      </w:r>
      <w:r>
        <w:t xml:space="preserve"> asistentů pedagoga </w:t>
      </w:r>
      <w:r w:rsidR="002F6DF1">
        <w:t>do výuky.</w:t>
      </w:r>
    </w:p>
    <w:p w:rsidR="002F6DF1" w:rsidRDefault="002F6DF1" w:rsidP="005F3646">
      <w:pPr>
        <w:pStyle w:val="Odstavecseseznamem"/>
        <w:numPr>
          <w:ilvl w:val="0"/>
          <w:numId w:val="3"/>
        </w:numPr>
        <w:spacing w:line="276" w:lineRule="auto"/>
      </w:pPr>
      <w:r>
        <w:t>Školy využívají možností finanční podpory (Šablony, NPO apod.) – personální podpora, DVPP, pořízení pomůcek.</w:t>
      </w:r>
    </w:p>
    <w:p w:rsidR="002F6DF1" w:rsidRDefault="002F6DF1" w:rsidP="005F3646">
      <w:pPr>
        <w:pStyle w:val="Odstavecseseznamem"/>
        <w:numPr>
          <w:ilvl w:val="0"/>
          <w:numId w:val="3"/>
        </w:numPr>
        <w:spacing w:line="276" w:lineRule="auto"/>
      </w:pPr>
      <w:r>
        <w:t>Vysoká náročnost administrativy v důsledku realizace inkluzivních opatření.</w:t>
      </w:r>
    </w:p>
    <w:p w:rsidR="002F6DF1" w:rsidRPr="002F6DF1" w:rsidRDefault="005F3646" w:rsidP="005F3646">
      <w:pPr>
        <w:pStyle w:val="Odstavecseseznamem"/>
        <w:numPr>
          <w:ilvl w:val="0"/>
          <w:numId w:val="3"/>
        </w:numPr>
        <w:spacing w:line="276" w:lineRule="auto"/>
      </w:pPr>
      <w:r>
        <w:t>I</w:t>
      </w:r>
      <w:r w:rsidR="004B7653">
        <w:t xml:space="preserve">ntegrace na školách </w:t>
      </w:r>
      <w:r w:rsidR="008D6959">
        <w:t>probíhá</w:t>
      </w:r>
      <w:r w:rsidR="004B7653">
        <w:t xml:space="preserve"> až </w:t>
      </w:r>
      <w:r>
        <w:t>na výjimky úspěšně, problémem je zapojování dětí s lehkým mentálním postižením.</w:t>
      </w:r>
      <w:r w:rsidRPr="002F6DF1">
        <w:rPr>
          <w:rFonts w:cstheme="minorHAnsi"/>
        </w:rPr>
        <w:t xml:space="preserve"> </w:t>
      </w:r>
    </w:p>
    <w:p w:rsidR="002F6DF1" w:rsidRPr="002F6DF1" w:rsidRDefault="00704D9D" w:rsidP="005F3646">
      <w:pPr>
        <w:pStyle w:val="Odstavecseseznamem"/>
        <w:numPr>
          <w:ilvl w:val="0"/>
          <w:numId w:val="3"/>
        </w:numPr>
        <w:spacing w:line="276" w:lineRule="auto"/>
      </w:pPr>
      <w:r>
        <w:rPr>
          <w:rFonts w:cstheme="minorHAnsi"/>
        </w:rPr>
        <w:t>Na školách chybí</w:t>
      </w:r>
      <w:r w:rsidR="005F3646" w:rsidRPr="002F6DF1">
        <w:rPr>
          <w:rFonts w:cstheme="minorHAnsi"/>
        </w:rPr>
        <w:t xml:space="preserve"> školní psychologové, sociální pedagogové a speciální pedagogové. </w:t>
      </w:r>
    </w:p>
    <w:p w:rsidR="00F56C59" w:rsidRDefault="005F3646" w:rsidP="009750F0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</w:rPr>
      </w:pPr>
      <w:r w:rsidRPr="002F6DF1">
        <w:rPr>
          <w:rFonts w:cstheme="minorHAnsi"/>
        </w:rPr>
        <w:t>V některých případech inkluzi narušuje špatná komunikace s</w:t>
      </w:r>
      <w:r w:rsidR="002F6DF1" w:rsidRPr="002F6DF1">
        <w:rPr>
          <w:rFonts w:cstheme="minorHAnsi"/>
        </w:rPr>
        <w:t> </w:t>
      </w:r>
      <w:r w:rsidRPr="002F6DF1">
        <w:rPr>
          <w:rFonts w:cstheme="minorHAnsi"/>
        </w:rPr>
        <w:t>ro</w:t>
      </w:r>
      <w:r w:rsidR="002F6DF1" w:rsidRPr="002F6DF1">
        <w:rPr>
          <w:rFonts w:cstheme="minorHAnsi"/>
        </w:rPr>
        <w:t>diči.</w:t>
      </w:r>
    </w:p>
    <w:p w:rsidR="008305F9" w:rsidRPr="008305F9" w:rsidRDefault="008305F9" w:rsidP="008305F9">
      <w:pPr>
        <w:pStyle w:val="Odstavecseseznamem"/>
        <w:numPr>
          <w:ilvl w:val="0"/>
          <w:numId w:val="3"/>
        </w:numPr>
        <w:spacing w:line="276" w:lineRule="auto"/>
      </w:pPr>
      <w:r>
        <w:t>V</w:t>
      </w:r>
      <w:r w:rsidRPr="008305F9">
        <w:t>elký problém jsou těžké psychické poruchy u žáků - narušení výuky (např. spánek vlivem medikace apod.), poruchy chování (společenské, vztahové zátěže rodiny, sociálně-ekonomické zázemí/prostředí)</w:t>
      </w:r>
      <w:r>
        <w:t>.</w:t>
      </w:r>
    </w:p>
    <w:p w:rsidR="008305F9" w:rsidRDefault="008305F9" w:rsidP="008305F9">
      <w:pPr>
        <w:spacing w:line="276" w:lineRule="auto"/>
        <w:rPr>
          <w:rFonts w:cstheme="minorHAnsi"/>
        </w:rPr>
      </w:pPr>
    </w:p>
    <w:p w:rsidR="008305F9" w:rsidRDefault="008305F9" w:rsidP="008305F9">
      <w:pPr>
        <w:spacing w:line="276" w:lineRule="auto"/>
        <w:rPr>
          <w:rFonts w:cstheme="minorHAnsi"/>
        </w:rPr>
      </w:pPr>
    </w:p>
    <w:p w:rsidR="00F56C59" w:rsidRDefault="00F56C59" w:rsidP="00F56C59">
      <w:pPr>
        <w:pStyle w:val="Nadpis2"/>
      </w:pPr>
      <w:r>
        <w:lastRenderedPageBreak/>
        <w:t>Potřeby aktérů vzdělávání/co se musí změnit, aby došlo k pozitivnímu posunu v oblasti?</w:t>
      </w:r>
    </w:p>
    <w:p w:rsidR="00114E53" w:rsidRDefault="008305F9" w:rsidP="008305F9">
      <w:pPr>
        <w:pStyle w:val="Odstavecseseznamem"/>
        <w:numPr>
          <w:ilvl w:val="0"/>
          <w:numId w:val="3"/>
        </w:numPr>
        <w:spacing w:line="276" w:lineRule="auto"/>
      </w:pPr>
      <w:r>
        <w:t>V</w:t>
      </w:r>
      <w:r w:rsidR="00114E53" w:rsidRPr="008305F9">
        <w:t>ysoký počet dětí na třídu</w:t>
      </w:r>
      <w:r>
        <w:t xml:space="preserve"> a </w:t>
      </w:r>
      <w:r w:rsidRPr="008305F9">
        <w:t>nedostatečné množství pedagogických pracovníků na jednu třídu</w:t>
      </w:r>
      <w:r>
        <w:t xml:space="preserve"> – zajištění kvalitní personální obsazení potřebných pozic, snížení počtu dětí ve třídě.</w:t>
      </w:r>
    </w:p>
    <w:p w:rsidR="008305F9" w:rsidRDefault="008305F9" w:rsidP="008305F9">
      <w:pPr>
        <w:pStyle w:val="Odstavecseseznamem"/>
        <w:numPr>
          <w:ilvl w:val="0"/>
          <w:numId w:val="3"/>
        </w:numPr>
        <w:spacing w:line="276" w:lineRule="auto"/>
      </w:pPr>
      <w:r>
        <w:t>Zlepšit identifikaci nadání.</w:t>
      </w:r>
    </w:p>
    <w:p w:rsidR="008305F9" w:rsidRDefault="003470B2" w:rsidP="008305F9">
      <w:pPr>
        <w:pStyle w:val="Odstavecseseznamem"/>
        <w:numPr>
          <w:ilvl w:val="0"/>
          <w:numId w:val="3"/>
        </w:numPr>
        <w:spacing w:line="276" w:lineRule="auto"/>
      </w:pPr>
      <w:r>
        <w:t>Zajištění personální podpory včetně</w:t>
      </w:r>
      <w:r w:rsidR="008305F9">
        <w:t xml:space="preserve"> samotné</w:t>
      </w:r>
      <w:r>
        <w:t>ho</w:t>
      </w:r>
      <w:r w:rsidR="008305F9">
        <w:t xml:space="preserve"> obsazení potřebných pozic (např. psycholog, sociální pedagog atd.).</w:t>
      </w:r>
      <w:r>
        <w:t xml:space="preserve"> + systémové financování</w:t>
      </w:r>
    </w:p>
    <w:p w:rsidR="008305F9" w:rsidRDefault="00BD67B2" w:rsidP="008305F9">
      <w:pPr>
        <w:pStyle w:val="Odstavecseseznamem"/>
        <w:numPr>
          <w:ilvl w:val="0"/>
          <w:numId w:val="3"/>
        </w:numPr>
        <w:spacing w:line="276" w:lineRule="auto"/>
      </w:pPr>
      <w:r>
        <w:t>Podpora</w:t>
      </w:r>
      <w:r w:rsidR="008305F9">
        <w:t xml:space="preserve"> intervence </w:t>
      </w:r>
      <w:r w:rsidR="008305F9" w:rsidRPr="008305F9">
        <w:t>psychoterapeutů (vysoká finanční náročnost placené služby</w:t>
      </w:r>
      <w:r>
        <w:t xml:space="preserve">, </w:t>
      </w:r>
      <w:r w:rsidRPr="008305F9">
        <w:t>dotované možnost</w:t>
      </w:r>
      <w:r>
        <w:t xml:space="preserve">i mají velmi omezenou kapacitu – </w:t>
      </w:r>
      <w:r w:rsidRPr="008305F9">
        <w:t>pracovníc</w:t>
      </w:r>
      <w:r>
        <w:t>i nízkoprahových zařízení apod.</w:t>
      </w:r>
      <w:r w:rsidR="008305F9">
        <w:t>).</w:t>
      </w:r>
    </w:p>
    <w:p w:rsidR="005F771E" w:rsidRDefault="00BD67B2" w:rsidP="00561242">
      <w:pPr>
        <w:pStyle w:val="Odstavecseseznamem"/>
        <w:numPr>
          <w:ilvl w:val="0"/>
          <w:numId w:val="3"/>
        </w:numPr>
        <w:spacing w:line="276" w:lineRule="auto"/>
      </w:pPr>
      <w:r>
        <w:t>Stabilní financování - p</w:t>
      </w:r>
      <w:r w:rsidR="005F771E" w:rsidRPr="008305F9">
        <w:t>roblematická udržitelnost (viz změny PH</w:t>
      </w:r>
      <w:r>
        <w:t>max, problémy s financováním a </w:t>
      </w:r>
      <w:r w:rsidR="005F771E" w:rsidRPr="008305F9">
        <w:t>udržitelností konkrétních podpůrných pracovníků</w:t>
      </w:r>
      <w:r>
        <w:t>, udržení pozice asistentů</w:t>
      </w:r>
      <w:r w:rsidR="005F771E" w:rsidRPr="008305F9">
        <w:t>)</w:t>
      </w:r>
      <w:r>
        <w:t>.</w:t>
      </w:r>
    </w:p>
    <w:p w:rsidR="00BD67B2" w:rsidRDefault="00BD67B2" w:rsidP="00BD67B2">
      <w:pPr>
        <w:pStyle w:val="Odstavecseseznamem"/>
        <w:numPr>
          <w:ilvl w:val="0"/>
          <w:numId w:val="3"/>
        </w:numPr>
        <w:spacing w:line="276" w:lineRule="auto"/>
      </w:pPr>
      <w:r>
        <w:t xml:space="preserve">Osvěta a zvýšení </w:t>
      </w:r>
      <w:r w:rsidRPr="008305F9">
        <w:t>informovanosti o přínosu inkluze</w:t>
      </w:r>
      <w:r>
        <w:t>.</w:t>
      </w:r>
    </w:p>
    <w:p w:rsidR="00BD67B2" w:rsidRDefault="00BD67B2" w:rsidP="00BD67B2">
      <w:pPr>
        <w:pStyle w:val="Odstavecseseznamem"/>
        <w:numPr>
          <w:ilvl w:val="0"/>
          <w:numId w:val="3"/>
        </w:numPr>
        <w:spacing w:line="276" w:lineRule="auto"/>
      </w:pPr>
      <w:r>
        <w:t>Nutná osvěta rodičů.</w:t>
      </w:r>
    </w:p>
    <w:p w:rsidR="00BD67B2" w:rsidRDefault="00BD67B2" w:rsidP="00BD67B2">
      <w:pPr>
        <w:pStyle w:val="Odstavecseseznamem"/>
        <w:numPr>
          <w:ilvl w:val="0"/>
          <w:numId w:val="3"/>
        </w:numPr>
        <w:spacing w:line="276" w:lineRule="auto"/>
      </w:pPr>
      <w:r>
        <w:t>O</w:t>
      </w:r>
      <w:r w:rsidRPr="008305F9">
        <w:t>borové vzdělávaní asistentů pedagogů žáků 2. stupně (v jednotlivých oblastech – předmětech) – „putující“ asistent je partnerem pro pedagoga, praktické opuštění dogmatu „asistent na žáka“</w:t>
      </w:r>
      <w:r>
        <w:t>.</w:t>
      </w:r>
    </w:p>
    <w:p w:rsidR="005F771E" w:rsidRDefault="00BD67B2" w:rsidP="008305F9">
      <w:pPr>
        <w:pStyle w:val="Odstavecseseznamem"/>
        <w:numPr>
          <w:ilvl w:val="0"/>
          <w:numId w:val="3"/>
        </w:numPr>
        <w:spacing w:line="276" w:lineRule="auto"/>
      </w:pPr>
      <w:r>
        <w:t>N</w:t>
      </w:r>
      <w:r w:rsidR="005F771E" w:rsidRPr="008305F9">
        <w:t>utnost přijetí stavu školství (vedení škol, pedagogičtí pracovníci, rodiče…) – nutnost uvědomění všech aktérů, že prioritou je DÍTĚ/ŽÁK – oproštění od všech ALE a pracovat nejlépe jak dovedu s tím, co mám…</w:t>
      </w:r>
    </w:p>
    <w:p w:rsidR="00BD67B2" w:rsidRDefault="00BD67B2" w:rsidP="00F72CF5">
      <w:pPr>
        <w:pStyle w:val="Odstavecseseznamem"/>
        <w:numPr>
          <w:ilvl w:val="0"/>
          <w:numId w:val="3"/>
        </w:numPr>
        <w:spacing w:line="276" w:lineRule="auto"/>
      </w:pPr>
      <w:r>
        <w:t>P</w:t>
      </w:r>
      <w:r w:rsidR="005F771E" w:rsidRPr="008305F9">
        <w:t>ravidelný externí</w:t>
      </w:r>
      <w:r>
        <w:t xml:space="preserve"> </w:t>
      </w:r>
      <w:proofErr w:type="spellStart"/>
      <w:r>
        <w:t>mentoring</w:t>
      </w:r>
      <w:proofErr w:type="spellEnd"/>
      <w:r w:rsidR="003470B2">
        <w:t xml:space="preserve"> a supervize</w:t>
      </w:r>
      <w:bookmarkStart w:id="14" w:name="_GoBack"/>
      <w:bookmarkEnd w:id="14"/>
      <w:r>
        <w:t xml:space="preserve"> pedagogického sboru.</w:t>
      </w:r>
    </w:p>
    <w:p w:rsidR="00BD67B2" w:rsidRDefault="00BD67B2" w:rsidP="00F72CF5">
      <w:pPr>
        <w:pStyle w:val="Odstavecseseznamem"/>
        <w:numPr>
          <w:ilvl w:val="0"/>
          <w:numId w:val="3"/>
        </w:numPr>
        <w:spacing w:line="276" w:lineRule="auto"/>
      </w:pPr>
      <w:r>
        <w:t>P</w:t>
      </w:r>
      <w:r w:rsidR="005F771E" w:rsidRPr="008305F9">
        <w:t>odpora wellbeingu učitelů (měkké aktivity na podporu kultury a klimatu školy včetně investiční části ve smyslu vytváření příjemného pracovního prostředí např. dotační titul – sborovny)</w:t>
      </w:r>
      <w:r>
        <w:t>.</w:t>
      </w:r>
    </w:p>
    <w:p w:rsidR="00F90B76" w:rsidRDefault="00F90B76" w:rsidP="00F72CF5">
      <w:pPr>
        <w:pStyle w:val="Odstavecseseznamem"/>
        <w:numPr>
          <w:ilvl w:val="0"/>
          <w:numId w:val="3"/>
        </w:numPr>
        <w:spacing w:line="276" w:lineRule="auto"/>
      </w:pPr>
      <w:r>
        <w:t>Pozn. kontroverzní otázka zrušení spádových obvodů.</w:t>
      </w:r>
    </w:p>
    <w:p w:rsidR="002F22AF" w:rsidRPr="008305F9" w:rsidRDefault="002F22AF" w:rsidP="00F72CF5">
      <w:pPr>
        <w:pStyle w:val="Odstavecseseznamem"/>
        <w:numPr>
          <w:ilvl w:val="0"/>
          <w:numId w:val="3"/>
        </w:numPr>
        <w:spacing w:line="276" w:lineRule="auto"/>
      </w:pPr>
      <w:r w:rsidRPr="008305F9">
        <w:br w:type="page"/>
      </w:r>
    </w:p>
    <w:p w:rsidR="008615D1" w:rsidRPr="005F3646" w:rsidRDefault="008615D1" w:rsidP="008615D1">
      <w:pPr>
        <w:pStyle w:val="Nadpis1"/>
        <w:ind w:left="357" w:hanging="357"/>
      </w:pPr>
      <w:r w:rsidRPr="005F3646">
        <w:lastRenderedPageBreak/>
        <w:t xml:space="preserve">Informace o stávajícím stavu </w:t>
      </w:r>
      <w:r>
        <w:t>klíčových kompetencí</w:t>
      </w:r>
    </w:p>
    <w:p w:rsidR="008615D1" w:rsidRPr="008615D1" w:rsidRDefault="008615D1" w:rsidP="008615D1">
      <w:pPr>
        <w:spacing w:line="259" w:lineRule="auto"/>
        <w:rPr>
          <w:i/>
        </w:rPr>
      </w:pPr>
      <w:r>
        <w:rPr>
          <w:b/>
          <w:i/>
        </w:rPr>
        <w:t>„</w:t>
      </w:r>
      <w:r w:rsidRPr="008615D1">
        <w:rPr>
          <w:b/>
          <w:i/>
        </w:rPr>
        <w:t>Klíčové kompetence</w:t>
      </w:r>
      <w:r w:rsidRPr="008615D1">
        <w:rPr>
          <w:i/>
        </w:rPr>
        <w:t xml:space="preserve"> jsou souborem vědomostí, dovedností, schopností, postojů a hodnot, které jsou důležité pro osobní rozvoj a uplatnění člověka ve společnosti. Nejsou vázány na jednotlivé obory, ale jsou nadoborové. Analýzy stavu gramotností (viz výše) již částečně pokrývá témata klíčových kompetencí, text níže se tedy zabývá především kompetencemi k učení, sociálními kompetencemi, případně kompetencemi související</w:t>
      </w:r>
      <w:r w:rsidR="00704D9D">
        <w:rPr>
          <w:i/>
        </w:rPr>
        <w:t>mi</w:t>
      </w:r>
      <w:r w:rsidRPr="008615D1">
        <w:rPr>
          <w:i/>
        </w:rPr>
        <w:t xml:space="preserve"> s řešením</w:t>
      </w:r>
      <w:r>
        <w:rPr>
          <w:i/>
        </w:rPr>
        <w:t xml:space="preserve"> problémů a kritickým myšlením.“</w:t>
      </w:r>
    </w:p>
    <w:p w:rsidR="008615D1" w:rsidRPr="002F6DF1" w:rsidRDefault="008615D1" w:rsidP="008615D1">
      <w:pPr>
        <w:pStyle w:val="Nadpis2"/>
        <w:rPr>
          <w:i/>
        </w:rPr>
      </w:pPr>
      <w:r w:rsidRPr="002F6DF1">
        <w:t>Situace v ČR</w:t>
      </w:r>
    </w:p>
    <w:p w:rsidR="00F56C59" w:rsidRPr="002F6DF1" w:rsidRDefault="00F56C59" w:rsidP="008615D1">
      <w:pPr>
        <w:pStyle w:val="Odstavecseseznamem"/>
        <w:numPr>
          <w:ilvl w:val="0"/>
          <w:numId w:val="3"/>
        </w:numPr>
        <w:spacing w:line="259" w:lineRule="auto"/>
      </w:pPr>
      <w:r w:rsidRPr="002F6DF1">
        <w:t>P</w:t>
      </w:r>
      <w:r w:rsidR="008615D1" w:rsidRPr="002F6DF1">
        <w:t xml:space="preserve">odpora rozvoje občanských kompetencí </w:t>
      </w:r>
      <w:r w:rsidRPr="002F6DF1">
        <w:t>je hodnocena pozitivně (dle ČŠI</w:t>
      </w:r>
      <w:r w:rsidR="008615D1" w:rsidRPr="002F6DF1">
        <w:t xml:space="preserve"> více než 95 % škol dosáhlo v každém ze dvou odpovídajících kritérií úrovně očekávaná, případně výborná</w:t>
      </w:r>
      <w:r w:rsidRPr="002F6DF1">
        <w:t>)</w:t>
      </w:r>
      <w:r w:rsidR="008D6959">
        <w:t>.</w:t>
      </w:r>
    </w:p>
    <w:p w:rsidR="00F56C59" w:rsidRPr="002F6DF1" w:rsidRDefault="00F56C59" w:rsidP="008615D1">
      <w:pPr>
        <w:pStyle w:val="Odstavecseseznamem"/>
        <w:numPr>
          <w:ilvl w:val="0"/>
          <w:numId w:val="3"/>
        </w:numPr>
        <w:spacing w:line="259" w:lineRule="auto"/>
      </w:pPr>
      <w:r w:rsidRPr="002F6DF1">
        <w:t>N</w:t>
      </w:r>
      <w:r w:rsidR="008615D1" w:rsidRPr="002F6DF1">
        <w:t>edostatečná míra aplikace vzdělávacích postupů</w:t>
      </w:r>
      <w:r w:rsidRPr="002F6DF1">
        <w:t xml:space="preserve"> v ZŠ pro podporu </w:t>
      </w:r>
      <w:r w:rsidR="008615D1" w:rsidRPr="002F6DF1">
        <w:t>žák</w:t>
      </w:r>
      <w:r w:rsidRPr="002F6DF1">
        <w:t>ů</w:t>
      </w:r>
      <w:r w:rsidR="008615D1" w:rsidRPr="002F6DF1">
        <w:t xml:space="preserve"> v jejich učení</w:t>
      </w:r>
      <w:r w:rsidRPr="002F6DF1">
        <w:t xml:space="preserve"> (</w:t>
      </w:r>
      <w:r w:rsidR="00FB1E8C">
        <w:t>postupy </w:t>
      </w:r>
      <w:r w:rsidRPr="002F6DF1">
        <w:t>málo rozvíjející vlastní kompetence k učení)</w:t>
      </w:r>
      <w:r w:rsidR="008615D1" w:rsidRPr="002F6DF1">
        <w:t xml:space="preserve">. </w:t>
      </w:r>
    </w:p>
    <w:p w:rsidR="00F56C59" w:rsidRPr="002F6DF1" w:rsidRDefault="00F56C59" w:rsidP="008615D1">
      <w:pPr>
        <w:pStyle w:val="Odstavecseseznamem"/>
        <w:numPr>
          <w:ilvl w:val="0"/>
          <w:numId w:val="3"/>
        </w:numPr>
        <w:spacing w:line="259" w:lineRule="auto"/>
      </w:pPr>
      <w:r w:rsidRPr="002F6DF1">
        <w:t>Nízká podpora reflexe vlastní</w:t>
      </w:r>
      <w:r w:rsidR="00FB1E8C">
        <w:t>ho</w:t>
      </w:r>
      <w:r w:rsidRPr="002F6DF1">
        <w:t xml:space="preserve"> učení žáků na druhém stupni ZŠ.</w:t>
      </w:r>
    </w:p>
    <w:p w:rsidR="008615D1" w:rsidRDefault="008615D1" w:rsidP="008615D1">
      <w:pPr>
        <w:pStyle w:val="Odstavecseseznamem"/>
        <w:numPr>
          <w:ilvl w:val="0"/>
          <w:numId w:val="3"/>
        </w:numPr>
        <w:spacing w:line="259" w:lineRule="auto"/>
      </w:pPr>
      <w:r>
        <w:t xml:space="preserve">V rámci rozvoje klíčových kompetencí jsou kladně hodnoceny </w:t>
      </w:r>
      <w:r w:rsidR="00FB1E8C">
        <w:t>ZUŠ</w:t>
      </w:r>
      <w:r>
        <w:t>, především v oblasti rozvoje sociálních a osobnostních kompetencí žáků, které školy systematicky rozvíjejí.</w:t>
      </w:r>
    </w:p>
    <w:p w:rsidR="008615D1" w:rsidRDefault="008D6959" w:rsidP="00F56C59">
      <w:pPr>
        <w:pStyle w:val="Odstavecseseznamem"/>
        <w:numPr>
          <w:ilvl w:val="0"/>
          <w:numId w:val="3"/>
        </w:numPr>
        <w:spacing w:line="259" w:lineRule="auto"/>
      </w:pPr>
      <w:r>
        <w:t xml:space="preserve">Zásadní </w:t>
      </w:r>
      <w:r w:rsidR="00F56C59">
        <w:t>role zájmového vzdělávání pro rozvoj klíčových kompetencí, především ve SVČ.</w:t>
      </w:r>
    </w:p>
    <w:p w:rsidR="008615D1" w:rsidRDefault="008615D1" w:rsidP="008B6667">
      <w:pPr>
        <w:pStyle w:val="Odstavecseseznamem"/>
        <w:numPr>
          <w:ilvl w:val="0"/>
          <w:numId w:val="3"/>
        </w:numPr>
        <w:spacing w:line="259" w:lineRule="auto"/>
      </w:pPr>
      <w:r>
        <w:t>V MŠ probíhá podpora pedagogů</w:t>
      </w:r>
      <w:r w:rsidR="008D6959">
        <w:t xml:space="preserve"> </w:t>
      </w:r>
      <w:r>
        <w:t xml:space="preserve"> a posilování individualizované práce s</w:t>
      </w:r>
      <w:r w:rsidR="008D6959">
        <w:t> dětmi – j</w:t>
      </w:r>
      <w:r>
        <w:t>sou efektivně podporovány sociální kompetence dětí, čímž je celkově</w:t>
      </w:r>
      <w:r w:rsidR="008D6959">
        <w:t xml:space="preserve"> podporována jejich úspěšnost v </w:t>
      </w:r>
      <w:r>
        <w:t xml:space="preserve">předškolním vzdělávání. </w:t>
      </w:r>
    </w:p>
    <w:p w:rsidR="008615D1" w:rsidRDefault="00F56C59" w:rsidP="008615D1">
      <w:pPr>
        <w:pStyle w:val="Odstavecseseznamem"/>
        <w:numPr>
          <w:ilvl w:val="0"/>
          <w:numId w:val="3"/>
        </w:numPr>
        <w:spacing w:line="259" w:lineRule="auto"/>
      </w:pPr>
      <w:r>
        <w:t xml:space="preserve">Malá </w:t>
      </w:r>
      <w:r w:rsidR="008615D1">
        <w:t>pod</w:t>
      </w:r>
      <w:r>
        <w:t>pora</w:t>
      </w:r>
      <w:r w:rsidR="008615D1">
        <w:t xml:space="preserve"> rozvoj</w:t>
      </w:r>
      <w:r>
        <w:t>e divergentního myšlení dětí (</w:t>
      </w:r>
      <w:r w:rsidR="008615D1">
        <w:t xml:space="preserve">dětem jsou </w:t>
      </w:r>
      <w:r>
        <w:t>p</w:t>
      </w:r>
      <w:r w:rsidR="008615D1">
        <w:t>ředkládány hotové poznatky, než aby učitel cíleně vytvářel prostor a motivaci k hledání různých řešení dětmi</w:t>
      </w:r>
      <w:r>
        <w:t>)</w:t>
      </w:r>
      <w:r w:rsidR="008615D1">
        <w:t xml:space="preserve">. </w:t>
      </w:r>
    </w:p>
    <w:p w:rsidR="008615D1" w:rsidRDefault="008615D1" w:rsidP="00F56C59">
      <w:pPr>
        <w:pStyle w:val="Odstavecseseznamem"/>
        <w:numPr>
          <w:ilvl w:val="0"/>
          <w:numId w:val="3"/>
        </w:numPr>
        <w:spacing w:line="259" w:lineRule="auto"/>
      </w:pPr>
      <w:r>
        <w:t xml:space="preserve">Přetrvávajícím problémem </w:t>
      </w:r>
      <w:r w:rsidR="00F56C59">
        <w:t>MŠ</w:t>
      </w:r>
      <w:r>
        <w:t xml:space="preserve"> je nízká úroveň v rozvoji kompetencí k řešení problémů.</w:t>
      </w:r>
    </w:p>
    <w:p w:rsidR="008615D1" w:rsidRDefault="008615D1" w:rsidP="008615D1">
      <w:pPr>
        <w:pStyle w:val="Nadpis2"/>
      </w:pPr>
      <w:r>
        <w:t>Situace v SO ORP Ústí nad Labem</w:t>
      </w:r>
    </w:p>
    <w:p w:rsidR="008D6959" w:rsidRPr="002F22AF" w:rsidRDefault="008D6959" w:rsidP="008D6959">
      <w:pPr>
        <w:pStyle w:val="Odstavecseseznamem"/>
        <w:numPr>
          <w:ilvl w:val="0"/>
          <w:numId w:val="3"/>
        </w:numPr>
        <w:spacing w:line="259" w:lineRule="auto"/>
      </w:pPr>
      <w:r>
        <w:t>Školy</w:t>
      </w:r>
      <w:r w:rsidRPr="002F22AF">
        <w:t xml:space="preserve"> připravuj</w:t>
      </w:r>
      <w:r>
        <w:t>í</w:t>
      </w:r>
      <w:r w:rsidRPr="002F22AF">
        <w:t xml:space="preserve"> žáky na aktivní zapojení do života v demokratické společnosti, rozvíjí občanské kompetence (např. formou žákovské samosprávy apod.)</w:t>
      </w:r>
      <w:r>
        <w:t>.</w:t>
      </w:r>
    </w:p>
    <w:p w:rsidR="002F22AF" w:rsidRDefault="002F22AF" w:rsidP="002F22AF">
      <w:pPr>
        <w:pStyle w:val="Odstavecseseznamem"/>
        <w:numPr>
          <w:ilvl w:val="0"/>
          <w:numId w:val="3"/>
        </w:numPr>
        <w:spacing w:line="259" w:lineRule="auto"/>
      </w:pPr>
      <w:r>
        <w:t>Školy</w:t>
      </w:r>
      <w:r w:rsidRPr="002F22AF">
        <w:t xml:space="preserve"> nabízí pestré možnosti seberealizace dětí</w:t>
      </w:r>
      <w:r>
        <w:t xml:space="preserve"> a žáků, dávají</w:t>
      </w:r>
      <w:r w:rsidRPr="002F22AF">
        <w:t xml:space="preserve"> prostor a umožňuje dětem realizaci vlastních nápadů</w:t>
      </w:r>
      <w:r w:rsidR="008D6959">
        <w:t>.</w:t>
      </w:r>
    </w:p>
    <w:p w:rsidR="008D6959" w:rsidRPr="002F22AF" w:rsidRDefault="008D6959" w:rsidP="008D6959">
      <w:pPr>
        <w:pStyle w:val="Odstavecseseznamem"/>
        <w:numPr>
          <w:ilvl w:val="0"/>
          <w:numId w:val="3"/>
        </w:numPr>
        <w:spacing w:line="259" w:lineRule="auto"/>
      </w:pPr>
      <w:r>
        <w:t>Školy</w:t>
      </w:r>
      <w:r w:rsidRPr="002F22AF">
        <w:t xml:space="preserve"> rozvíjí schopnosti žáků učit se, zorganizovat si učení, využívat k tomu různé metody a možnosti podle vlastních potřeb (učit se samostatně, v rámci skupin apod.)</w:t>
      </w:r>
      <w:r>
        <w:t>.</w:t>
      </w:r>
    </w:p>
    <w:p w:rsidR="002F22AF" w:rsidRPr="002F22AF" w:rsidRDefault="002F22AF" w:rsidP="002F22AF">
      <w:pPr>
        <w:pStyle w:val="Odstavecseseznamem"/>
        <w:numPr>
          <w:ilvl w:val="0"/>
          <w:numId w:val="3"/>
        </w:numPr>
        <w:spacing w:line="259" w:lineRule="auto"/>
      </w:pPr>
      <w:r w:rsidRPr="002F22AF">
        <w:t>Školy pěstují kulturu komunikace mezi všemi účastníky vzdělávání a jsou rozvíjeny schopnosti sebereflexe a sebehodnocení, buduje se vzájemná spolupráce učitele, rodičů a žáků</w:t>
      </w:r>
      <w:r w:rsidR="002F6DF1">
        <w:t>.</w:t>
      </w:r>
    </w:p>
    <w:p w:rsidR="002F22AF" w:rsidRPr="002F22AF" w:rsidRDefault="002F22AF" w:rsidP="002F22AF">
      <w:pPr>
        <w:pStyle w:val="Odstavecseseznamem"/>
        <w:numPr>
          <w:ilvl w:val="0"/>
          <w:numId w:val="3"/>
        </w:numPr>
        <w:spacing w:line="259" w:lineRule="auto"/>
      </w:pPr>
      <w:r w:rsidRPr="002F22AF">
        <w:t>Učitelé vedou žáky k ohleduplnosti, podporují pozitivní vývoj jejich společenského postoje a předávají žákům zodpovědnost za vlastní jednání</w:t>
      </w:r>
      <w:r w:rsidR="002F6DF1">
        <w:t>.</w:t>
      </w:r>
    </w:p>
    <w:p w:rsidR="002F22AF" w:rsidRPr="002F22AF" w:rsidRDefault="002F22AF" w:rsidP="008D6959">
      <w:pPr>
        <w:pStyle w:val="Odstavecseseznamem"/>
        <w:numPr>
          <w:ilvl w:val="0"/>
          <w:numId w:val="3"/>
        </w:numPr>
        <w:spacing w:line="259" w:lineRule="auto"/>
      </w:pPr>
      <w:r w:rsidRPr="002F22AF">
        <w:t>Ve škol</w:t>
      </w:r>
      <w:r w:rsidR="008D6959">
        <w:t>ách</w:t>
      </w:r>
      <w:r w:rsidRPr="002F22AF">
        <w:t xml:space="preserve"> je pěstováno kulturní povědomí a kulturní komunikace</w:t>
      </w:r>
      <w:r w:rsidR="008D6959">
        <w:t xml:space="preserve">, budováno </w:t>
      </w:r>
      <w:r w:rsidRPr="002F22AF">
        <w:t>povědomí o etických hodnotách</w:t>
      </w:r>
      <w:r w:rsidR="008D6959">
        <w:t>.</w:t>
      </w:r>
    </w:p>
    <w:p w:rsidR="002F22AF" w:rsidRDefault="002F22AF" w:rsidP="002F22AF">
      <w:pPr>
        <w:pStyle w:val="Odstavecseseznamem"/>
        <w:numPr>
          <w:ilvl w:val="0"/>
          <w:numId w:val="3"/>
        </w:numPr>
        <w:spacing w:line="259" w:lineRule="auto"/>
      </w:pPr>
      <w:r w:rsidRPr="002F22AF">
        <w:t>Výuka podporuje zapojení žáků do společenského a pracovního života</w:t>
      </w:r>
      <w:r w:rsidR="008D6959">
        <w:t>.</w:t>
      </w:r>
    </w:p>
    <w:p w:rsidR="00BD67B2" w:rsidRDefault="00BD67B2" w:rsidP="00BD67B2">
      <w:pPr>
        <w:spacing w:line="259" w:lineRule="auto"/>
      </w:pPr>
    </w:p>
    <w:p w:rsidR="00BD67B2" w:rsidRPr="002F22AF" w:rsidRDefault="00BD67B2" w:rsidP="00BD67B2">
      <w:pPr>
        <w:spacing w:line="259" w:lineRule="auto"/>
      </w:pPr>
    </w:p>
    <w:p w:rsidR="00F56C59" w:rsidRDefault="00F56C59" w:rsidP="00F56C59">
      <w:pPr>
        <w:pStyle w:val="Nadpis2"/>
      </w:pPr>
      <w:r>
        <w:lastRenderedPageBreak/>
        <w:t>Potřeby aktérů vzdělávání/co se musí změnit, aby došlo k pozitivnímu posunu v oblasti?</w:t>
      </w:r>
    </w:p>
    <w:p w:rsidR="00114E53" w:rsidRDefault="00BD67B2" w:rsidP="00BD67B2">
      <w:pPr>
        <w:pStyle w:val="Odstavecseseznamem"/>
        <w:numPr>
          <w:ilvl w:val="0"/>
          <w:numId w:val="3"/>
        </w:numPr>
        <w:spacing w:line="259" w:lineRule="auto"/>
      </w:pPr>
      <w:r>
        <w:t>Realizace d</w:t>
      </w:r>
      <w:r w:rsidR="00114E53">
        <w:t>alší</w:t>
      </w:r>
      <w:r>
        <w:t>ho</w:t>
      </w:r>
      <w:r w:rsidR="00114E53">
        <w:t xml:space="preserve"> vzdělávání pedagogických pracovníků v oblasti podpory KK</w:t>
      </w:r>
      <w:r>
        <w:t>.</w:t>
      </w:r>
    </w:p>
    <w:p w:rsidR="00114E53" w:rsidRDefault="00BD67B2" w:rsidP="00BD67B2">
      <w:pPr>
        <w:pStyle w:val="Odstavecseseznamem"/>
        <w:numPr>
          <w:ilvl w:val="0"/>
          <w:numId w:val="3"/>
        </w:numPr>
        <w:spacing w:line="259" w:lineRule="auto"/>
      </w:pPr>
      <w:r>
        <w:t>R</w:t>
      </w:r>
      <w:r w:rsidR="00114E53">
        <w:t>ozvoj slovní zásoby a vyjadřovacích schopností dětí – potřeba sebehodnocení dětí</w:t>
      </w:r>
      <w:r>
        <w:t>.</w:t>
      </w:r>
    </w:p>
    <w:p w:rsidR="00114E53" w:rsidRDefault="00BD67B2" w:rsidP="00BD67B2">
      <w:pPr>
        <w:pStyle w:val="Odstavecseseznamem"/>
        <w:numPr>
          <w:ilvl w:val="0"/>
          <w:numId w:val="3"/>
        </w:numPr>
        <w:spacing w:line="259" w:lineRule="auto"/>
      </w:pPr>
      <w:r>
        <w:t>Z</w:t>
      </w:r>
      <w:r w:rsidR="00114E53">
        <w:t>lepšení komunikace mezi školkou a rodičem – tripartitní schůzky (vzdělávání pedagogů)</w:t>
      </w:r>
      <w:r>
        <w:t>.</w:t>
      </w:r>
    </w:p>
    <w:p w:rsidR="00114E53" w:rsidRDefault="00BD67B2" w:rsidP="00BD67B2">
      <w:pPr>
        <w:pStyle w:val="Odstavecseseznamem"/>
        <w:numPr>
          <w:ilvl w:val="0"/>
          <w:numId w:val="3"/>
        </w:numPr>
        <w:spacing w:line="259" w:lineRule="auto"/>
      </w:pPr>
      <w:r>
        <w:t>Zahrnout emoční učení součást přípravy pro PP.</w:t>
      </w:r>
    </w:p>
    <w:p w:rsidR="00114E53" w:rsidRDefault="00BD67B2" w:rsidP="00BD67B2">
      <w:pPr>
        <w:pStyle w:val="Odstavecseseznamem"/>
        <w:numPr>
          <w:ilvl w:val="0"/>
          <w:numId w:val="3"/>
        </w:numPr>
        <w:spacing w:line="259" w:lineRule="auto"/>
      </w:pPr>
      <w:r>
        <w:t>S</w:t>
      </w:r>
      <w:r w:rsidR="00114E53">
        <w:t>dílení inspirativní praxe</w:t>
      </w:r>
      <w:r>
        <w:t>.</w:t>
      </w:r>
    </w:p>
    <w:p w:rsidR="005F771E" w:rsidRPr="00BD67B2" w:rsidRDefault="00BD67B2" w:rsidP="00BD67B2">
      <w:pPr>
        <w:pStyle w:val="Odstavecseseznamem"/>
        <w:numPr>
          <w:ilvl w:val="0"/>
          <w:numId w:val="3"/>
        </w:numPr>
        <w:spacing w:line="259" w:lineRule="auto"/>
      </w:pPr>
      <w:r>
        <w:t>P</w:t>
      </w:r>
      <w:r w:rsidR="005F771E" w:rsidRPr="00BD67B2">
        <w:t>odpor</w:t>
      </w:r>
      <w:r>
        <w:t>ovat</w:t>
      </w:r>
      <w:r w:rsidR="005F771E" w:rsidRPr="00BD67B2">
        <w:t xml:space="preserve"> vytváření</w:t>
      </w:r>
      <w:r>
        <w:t xml:space="preserve"> samosprávných celků ve školách.</w:t>
      </w:r>
    </w:p>
    <w:p w:rsidR="005F771E" w:rsidRPr="00BD67B2" w:rsidRDefault="00F90B76" w:rsidP="00BD67B2">
      <w:pPr>
        <w:pStyle w:val="Odstavecseseznamem"/>
        <w:numPr>
          <w:ilvl w:val="0"/>
          <w:numId w:val="3"/>
        </w:numPr>
        <w:spacing w:line="259" w:lineRule="auto"/>
      </w:pPr>
      <w:r>
        <w:t>V</w:t>
      </w:r>
      <w:r w:rsidR="005F771E" w:rsidRPr="00BD67B2">
        <w:t>yužití zájmu žáků o společenská témata</w:t>
      </w:r>
      <w:r>
        <w:t>.</w:t>
      </w:r>
    </w:p>
    <w:p w:rsidR="00F90B76" w:rsidRPr="00BD67B2" w:rsidRDefault="00F90B76" w:rsidP="00F90B76">
      <w:pPr>
        <w:pStyle w:val="Odstavecseseznamem"/>
        <w:numPr>
          <w:ilvl w:val="0"/>
          <w:numId w:val="3"/>
        </w:numPr>
        <w:spacing w:line="259" w:lineRule="auto"/>
      </w:pPr>
      <w:r>
        <w:t>P</w:t>
      </w:r>
      <w:r w:rsidRPr="00BD67B2">
        <w:t>odpora pedagogických pracovníků ze strany vedení (náměty a techniky)</w:t>
      </w:r>
      <w:r>
        <w:t>.</w:t>
      </w:r>
    </w:p>
    <w:p w:rsidR="005F771E" w:rsidRDefault="00F90B76" w:rsidP="00BD67B2">
      <w:pPr>
        <w:pStyle w:val="Odstavecseseznamem"/>
        <w:numPr>
          <w:ilvl w:val="0"/>
          <w:numId w:val="3"/>
        </w:numPr>
        <w:spacing w:line="259" w:lineRule="auto"/>
      </w:pPr>
      <w:r>
        <w:t>Pozn. r</w:t>
      </w:r>
      <w:r w:rsidR="005F771E" w:rsidRPr="00BD67B2">
        <w:t>izikem je obecné snížení kompetencí u dětí (přehnaná péče o děti a z toho vyplývající nesamostatnost/neschopnost dětí apod.)</w:t>
      </w:r>
    </w:p>
    <w:p w:rsidR="005F771E" w:rsidRPr="00BD67B2" w:rsidRDefault="00F90B76" w:rsidP="00BD67B2">
      <w:pPr>
        <w:pStyle w:val="Odstavecseseznamem"/>
        <w:numPr>
          <w:ilvl w:val="0"/>
          <w:numId w:val="3"/>
        </w:numPr>
        <w:spacing w:line="259" w:lineRule="auto"/>
      </w:pPr>
      <w:r>
        <w:t>Pozn. p</w:t>
      </w:r>
      <w:r w:rsidR="005F771E" w:rsidRPr="00BD67B2">
        <w:t xml:space="preserve">řínosem je nabídka zájmové činnosti pro žáky ve školách (kontroverzní téma z hlediska vytěžení PP pro běžnou výuku a následně pro zájmovou činnost) </w:t>
      </w:r>
    </w:p>
    <w:p w:rsidR="005F771E" w:rsidRPr="00114E53" w:rsidRDefault="005F771E" w:rsidP="00114E53"/>
    <w:p w:rsidR="00F56C59" w:rsidRDefault="00F56C59" w:rsidP="00704D9D">
      <w:pPr>
        <w:spacing w:line="259" w:lineRule="auto"/>
      </w:pPr>
    </w:p>
    <w:p w:rsidR="00114E53" w:rsidRDefault="00114E53" w:rsidP="00704D9D">
      <w:pPr>
        <w:spacing w:line="259" w:lineRule="auto"/>
      </w:pPr>
    </w:p>
    <w:p w:rsidR="00114E53" w:rsidRDefault="00114E53" w:rsidP="00704D9D">
      <w:pPr>
        <w:spacing w:line="259" w:lineRule="auto"/>
      </w:pPr>
    </w:p>
    <w:p w:rsidR="002C64B4" w:rsidRDefault="002C64B4" w:rsidP="00A0091E">
      <w:pPr>
        <w:spacing w:line="259" w:lineRule="auto"/>
        <w:jc w:val="left"/>
      </w:pPr>
    </w:p>
    <w:p w:rsidR="002C07BE" w:rsidRDefault="002C07BE" w:rsidP="00A0091E">
      <w:pPr>
        <w:spacing w:line="259" w:lineRule="auto"/>
        <w:jc w:val="left"/>
      </w:pPr>
    </w:p>
    <w:p w:rsidR="00792A13" w:rsidRDefault="00792A13" w:rsidP="00A0091E">
      <w:pPr>
        <w:spacing w:line="259" w:lineRule="auto"/>
        <w:jc w:val="left"/>
      </w:pPr>
    </w:p>
    <w:sectPr w:rsidR="00792A13" w:rsidSect="002F6DF1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4C" w:rsidRDefault="003D524C" w:rsidP="007A26FA">
      <w:pPr>
        <w:spacing w:after="0" w:line="240" w:lineRule="auto"/>
      </w:pPr>
      <w:r>
        <w:separator/>
      </w:r>
    </w:p>
  </w:endnote>
  <w:endnote w:type="continuationSeparator" w:id="0">
    <w:p w:rsidR="003D524C" w:rsidRDefault="003D524C" w:rsidP="007A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128088"/>
      <w:docPartObj>
        <w:docPartGallery w:val="Page Numbers (Bottom of Page)"/>
        <w:docPartUnique/>
      </w:docPartObj>
    </w:sdtPr>
    <w:sdtEndPr/>
    <w:sdtContent>
      <w:p w:rsidR="002F6DF1" w:rsidRDefault="002F6DF1" w:rsidP="002F6DF1">
        <w:pPr>
          <w:pStyle w:val="Zpat"/>
        </w:pPr>
      </w:p>
      <w:p w:rsidR="002F6DF1" w:rsidRPr="004A4AA1" w:rsidRDefault="002F6DF1" w:rsidP="002F6DF1">
        <w:pPr>
          <w:pStyle w:val="Zpat"/>
        </w:pPr>
        <w:r w:rsidRPr="004A4AA1">
          <w:rPr>
            <w:noProof/>
            <w:lang w:eastAsia="cs-CZ"/>
          </w:rPr>
          <w:drawing>
            <wp:anchor distT="0" distB="0" distL="114300" distR="114300" simplePos="0" relativeHeight="251671552" behindDoc="0" locked="0" layoutInCell="1" allowOverlap="1" wp14:anchorId="3C2C899F" wp14:editId="13A87587">
              <wp:simplePos x="0" y="0"/>
              <wp:positionH relativeFrom="leftMargin">
                <wp:posOffset>873760</wp:posOffset>
              </wp:positionH>
              <wp:positionV relativeFrom="bottomMargin">
                <wp:posOffset>83185</wp:posOffset>
              </wp:positionV>
              <wp:extent cx="586740" cy="640715"/>
              <wp:effectExtent l="0" t="0" r="3810" b="6985"/>
              <wp:wrapNone/>
              <wp:docPr id="3" name="Obrázek 3" descr="C:\Users\dyrsm\Desktop\MAP II podklady\07_PUBLICITA, OBJEDNÁVKY\logo MAP\MAP_U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dyrsm\Desktop\MAP II podklady\07_PUBLICITA, OBJEDNÁVKY\logo MAP\MAP_UL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674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A4AA1">
          <w:rPr>
            <w:noProof/>
            <w:lang w:eastAsia="cs-CZ"/>
          </w:rPr>
          <w:drawing>
            <wp:anchor distT="0" distB="0" distL="114300" distR="114300" simplePos="0" relativeHeight="251672576" behindDoc="0" locked="0" layoutInCell="1" allowOverlap="1" wp14:anchorId="40B16A93" wp14:editId="71525B85">
              <wp:simplePos x="0" y="0"/>
              <wp:positionH relativeFrom="rightMargin">
                <wp:posOffset>-709295</wp:posOffset>
              </wp:positionH>
              <wp:positionV relativeFrom="bottomMargin">
                <wp:posOffset>168910</wp:posOffset>
              </wp:positionV>
              <wp:extent cx="579120" cy="424180"/>
              <wp:effectExtent l="0" t="0" r="0" b="0"/>
              <wp:wrapNone/>
              <wp:docPr id="6" name="Obrázek 6" descr="C:\Users\dyrsm\Desktop\MAP II podklady\07_PUBLICITA, OBJEDNÁVKY\LOGO_MAS 1 pro tis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dyrsm\Desktop\MAP II podklady\07_PUBLICITA, OBJEDNÁVKY\LOGO_MAS 1 pro tisk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sdt>
    <w:sdtPr>
      <w:id w:val="-1167166466"/>
      <w:docPartObj>
        <w:docPartGallery w:val="Page Numbers (Bottom of Page)"/>
        <w:docPartUnique/>
      </w:docPartObj>
    </w:sdtPr>
    <w:sdtEndPr/>
    <w:sdtContent>
      <w:p w:rsidR="002F6DF1" w:rsidRDefault="002F6DF1" w:rsidP="002F6DF1">
        <w:pPr>
          <w:tabs>
            <w:tab w:val="left" w:pos="5387"/>
            <w:tab w:val="right" w:pos="9072"/>
          </w:tabs>
          <w:spacing w:after="0"/>
          <w:jc w:val="center"/>
          <w:rPr>
            <w:sz w:val="18"/>
            <w:szCs w:val="18"/>
          </w:rPr>
        </w:pPr>
        <w:r>
          <w:rPr>
            <w:i/>
            <w:sz w:val="18"/>
            <w:szCs w:val="18"/>
          </w:rPr>
          <w:t>Místní akční plán rozvoje vzdělávání pro SO ORP Ústí nad Labem IV</w:t>
        </w:r>
      </w:p>
      <w:p w:rsidR="002F6DF1" w:rsidRPr="00DA023D" w:rsidRDefault="002F6DF1" w:rsidP="002F6DF1">
        <w:pPr>
          <w:spacing w:after="0"/>
          <w:jc w:val="center"/>
          <w:rPr>
            <w:rFonts w:cstheme="minorHAnsi"/>
            <w:i/>
            <w:sz w:val="18"/>
          </w:rPr>
        </w:pPr>
        <w:r>
          <w:rPr>
            <w:i/>
            <w:sz w:val="18"/>
            <w:szCs w:val="18"/>
          </w:rPr>
          <w:t xml:space="preserve">Č. projektu: </w:t>
        </w:r>
        <w:proofErr w:type="gramStart"/>
        <w:r>
          <w:rPr>
            <w:i/>
            <w:sz w:val="18"/>
            <w:szCs w:val="18"/>
          </w:rPr>
          <w:t>CZ.02.02</w:t>
        </w:r>
        <w:proofErr w:type="gramEnd"/>
        <w:r>
          <w:rPr>
            <w:i/>
            <w:sz w:val="18"/>
            <w:szCs w:val="18"/>
          </w:rPr>
          <w:t>.XX/00/23_017/0008147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4C" w:rsidRDefault="003D524C" w:rsidP="007A26FA">
      <w:pPr>
        <w:spacing w:after="0" w:line="240" w:lineRule="auto"/>
      </w:pPr>
      <w:r>
        <w:separator/>
      </w:r>
    </w:p>
  </w:footnote>
  <w:footnote w:type="continuationSeparator" w:id="0">
    <w:p w:rsidR="003D524C" w:rsidRDefault="003D524C" w:rsidP="007A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DF1" w:rsidRDefault="002F6DF1" w:rsidP="002F6DF1">
    <w:pPr>
      <w:pStyle w:val="Normlnweb"/>
      <w:jc w:val="center"/>
    </w:pPr>
    <w:r>
      <w:rPr>
        <w:noProof/>
      </w:rPr>
      <w:drawing>
        <wp:inline distT="0" distB="0" distL="0" distR="0" wp14:anchorId="68A84D74" wp14:editId="1BB0571D">
          <wp:extent cx="4724400" cy="674334"/>
          <wp:effectExtent l="0" t="0" r="0" b="0"/>
          <wp:docPr id="5" name="obrázek 1" descr="C:\Users\Jana Davidová\Desktop\MAP ÚL IV\EU+MŠMT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a Davidová\Desktop\MAP ÚL IV\EU+MŠMT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951" cy="69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3895" w:rsidRPr="002F6DF1" w:rsidRDefault="002F6DF1" w:rsidP="002F6DF1">
    <w:pPr>
      <w:pStyle w:val="Zhlav"/>
    </w:pPr>
    <w:r>
      <w:rPr>
        <w:rFonts w:eastAsiaTheme="majorEastAsia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570AA7FC" wp14:editId="4EDB4E14">
              <wp:simplePos x="0" y="0"/>
              <wp:positionH relativeFrom="rightMargin">
                <wp:posOffset>320040</wp:posOffset>
              </wp:positionH>
              <wp:positionV relativeFrom="margin">
                <wp:posOffset>1815465</wp:posOffset>
              </wp:positionV>
              <wp:extent cx="252000" cy="327660"/>
              <wp:effectExtent l="0" t="0" r="0" b="0"/>
              <wp:wrapNone/>
              <wp:docPr id="12" name="Ová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00" cy="327660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F6DF1" w:rsidRPr="001C2381" w:rsidRDefault="002F6DF1" w:rsidP="002F6DF1">
                          <w:pPr>
                            <w:spacing w:after="0"/>
                            <w:jc w:val="center"/>
                            <w:rPr>
                              <w:rStyle w:val="slostrnky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C2381">
                            <w:fldChar w:fldCharType="begin"/>
                          </w:r>
                          <w:r w:rsidRPr="001C2381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1C2381">
                            <w:fldChar w:fldCharType="separate"/>
                          </w:r>
                          <w:r w:rsidR="0060446E" w:rsidRPr="0060446E">
                            <w:rPr>
                              <w:rStyle w:val="slostrnky"/>
                              <w:b/>
                              <w:bCs/>
                              <w:noProof/>
                              <w:color w:val="FFFFFF" w:themeColor="background1"/>
                            </w:rPr>
                            <w:t>9</w:t>
                          </w:r>
                          <w:r w:rsidRPr="001C2381">
                            <w:rPr>
                              <w:rStyle w:val="slostrnky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70AA7FC" id="Ovál 12" o:spid="_x0000_s1026" style="position:absolute;left:0;text-align:left;margin-left:25.2pt;margin-top:142.95pt;width:19.85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" o:allowincell="f" fillcolor="#00b050" stroked="f">
              <v:textbox inset="0,,0">
                <w:txbxContent>
                  <w:p w:rsidR="002F6DF1" w:rsidRPr="001C2381" w:rsidRDefault="002F6DF1" w:rsidP="002F6DF1">
                    <w:pPr>
                      <w:spacing w:after="0"/>
                      <w:jc w:val="center"/>
                      <w:rPr>
                        <w:rStyle w:val="slostrnky"/>
                        <w:color w:val="FFFFFF" w:themeColor="background1"/>
                        <w:sz w:val="16"/>
                        <w:szCs w:val="16"/>
                      </w:rPr>
                    </w:pPr>
                    <w:r w:rsidRPr="001C2381">
                      <w:fldChar w:fldCharType="begin"/>
                    </w:r>
                    <w:r w:rsidRPr="001C2381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1C2381">
                      <w:fldChar w:fldCharType="separate"/>
                    </w:r>
                    <w:r w:rsidR="0060446E" w:rsidRPr="0060446E">
                      <w:rPr>
                        <w:rStyle w:val="slostrnky"/>
                        <w:b/>
                        <w:bCs/>
                        <w:noProof/>
                        <w:color w:val="FFFFFF" w:themeColor="background1"/>
                      </w:rPr>
                      <w:t>9</w:t>
                    </w:r>
                    <w:r w:rsidRPr="001C2381">
                      <w:rPr>
                        <w:rStyle w:val="slostrnky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895" w:rsidRDefault="001A3895">
    <w:pPr>
      <w:pStyle w:val="Zhlav"/>
    </w:pPr>
    <w:r>
      <w:rPr>
        <w:noProof/>
        <w:lang w:eastAsia="cs-CZ"/>
      </w:rPr>
      <w:drawing>
        <wp:inline distT="0" distB="0" distL="0" distR="0" wp14:anchorId="40B437B8" wp14:editId="5CCA6176">
          <wp:extent cx="5759450" cy="1276350"/>
          <wp:effectExtent l="0" t="0" r="0" b="0"/>
          <wp:docPr id="2" name="Obrázek 2" descr="Logolink_OP_VVV_hor_barva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barva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5DF9"/>
    <w:multiLevelType w:val="hybridMultilevel"/>
    <w:tmpl w:val="81A03424"/>
    <w:lvl w:ilvl="0" w:tplc="BFCED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AC1DAF"/>
    <w:multiLevelType w:val="hybridMultilevel"/>
    <w:tmpl w:val="07360E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B44F2A"/>
    <w:multiLevelType w:val="hybridMultilevel"/>
    <w:tmpl w:val="8AD464B0"/>
    <w:lvl w:ilvl="0" w:tplc="6BDA1456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E224F"/>
    <w:multiLevelType w:val="hybridMultilevel"/>
    <w:tmpl w:val="A3E283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B5225"/>
    <w:multiLevelType w:val="multilevel"/>
    <w:tmpl w:val="30FCAB90"/>
    <w:lvl w:ilvl="0">
      <w:start w:val="1"/>
      <w:numFmt w:val="decimal"/>
      <w:lvlText w:val="%1"/>
      <w:lvlJc w:val="left"/>
      <w:pPr>
        <w:ind w:left="432" w:hanging="432"/>
      </w:pPr>
      <w:rPr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47B356E"/>
    <w:multiLevelType w:val="hybridMultilevel"/>
    <w:tmpl w:val="52E6B61C"/>
    <w:lvl w:ilvl="0" w:tplc="048E24B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75D74"/>
    <w:multiLevelType w:val="hybridMultilevel"/>
    <w:tmpl w:val="87703440"/>
    <w:lvl w:ilvl="0" w:tplc="D6389A44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ED08E6"/>
    <w:multiLevelType w:val="hybridMultilevel"/>
    <w:tmpl w:val="81A03424"/>
    <w:lvl w:ilvl="0" w:tplc="BFCED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81"/>
    <w:rsid w:val="00000112"/>
    <w:rsid w:val="00001D00"/>
    <w:rsid w:val="0002075A"/>
    <w:rsid w:val="000230AF"/>
    <w:rsid w:val="00033766"/>
    <w:rsid w:val="0004189E"/>
    <w:rsid w:val="00072152"/>
    <w:rsid w:val="00074897"/>
    <w:rsid w:val="000A564A"/>
    <w:rsid w:val="000C007E"/>
    <w:rsid w:val="000E4841"/>
    <w:rsid w:val="00101555"/>
    <w:rsid w:val="001071D8"/>
    <w:rsid w:val="00113777"/>
    <w:rsid w:val="00114E53"/>
    <w:rsid w:val="001335A5"/>
    <w:rsid w:val="001430D3"/>
    <w:rsid w:val="00172584"/>
    <w:rsid w:val="00172F93"/>
    <w:rsid w:val="0018303B"/>
    <w:rsid w:val="001937C4"/>
    <w:rsid w:val="001A3895"/>
    <w:rsid w:val="001B354D"/>
    <w:rsid w:val="001B38B4"/>
    <w:rsid w:val="001D3733"/>
    <w:rsid w:val="001D736E"/>
    <w:rsid w:val="001E12DC"/>
    <w:rsid w:val="001E3F9F"/>
    <w:rsid w:val="001F0524"/>
    <w:rsid w:val="001F2106"/>
    <w:rsid w:val="0021067A"/>
    <w:rsid w:val="0021669B"/>
    <w:rsid w:val="00253C48"/>
    <w:rsid w:val="00257D54"/>
    <w:rsid w:val="00263227"/>
    <w:rsid w:val="00272ACA"/>
    <w:rsid w:val="002808E3"/>
    <w:rsid w:val="00294B44"/>
    <w:rsid w:val="002B6E97"/>
    <w:rsid w:val="002B7613"/>
    <w:rsid w:val="002C07BE"/>
    <w:rsid w:val="002C5395"/>
    <w:rsid w:val="002C64B4"/>
    <w:rsid w:val="002D2D70"/>
    <w:rsid w:val="002E317C"/>
    <w:rsid w:val="002E3ACC"/>
    <w:rsid w:val="002F1EF8"/>
    <w:rsid w:val="002F22AF"/>
    <w:rsid w:val="002F6DF1"/>
    <w:rsid w:val="00303665"/>
    <w:rsid w:val="003365C5"/>
    <w:rsid w:val="0033702F"/>
    <w:rsid w:val="003470B2"/>
    <w:rsid w:val="0034766E"/>
    <w:rsid w:val="003518DE"/>
    <w:rsid w:val="00361478"/>
    <w:rsid w:val="003734CE"/>
    <w:rsid w:val="003814E3"/>
    <w:rsid w:val="00386001"/>
    <w:rsid w:val="00392F5A"/>
    <w:rsid w:val="00396131"/>
    <w:rsid w:val="00397015"/>
    <w:rsid w:val="003A71B9"/>
    <w:rsid w:val="003A77F4"/>
    <w:rsid w:val="003D3429"/>
    <w:rsid w:val="003D524C"/>
    <w:rsid w:val="003E5BCC"/>
    <w:rsid w:val="003F2363"/>
    <w:rsid w:val="004034A3"/>
    <w:rsid w:val="00405B49"/>
    <w:rsid w:val="0041416F"/>
    <w:rsid w:val="004369D1"/>
    <w:rsid w:val="0044235F"/>
    <w:rsid w:val="00453162"/>
    <w:rsid w:val="00457F2A"/>
    <w:rsid w:val="004626C4"/>
    <w:rsid w:val="00464CB4"/>
    <w:rsid w:val="004651F1"/>
    <w:rsid w:val="00467870"/>
    <w:rsid w:val="0047085E"/>
    <w:rsid w:val="00473251"/>
    <w:rsid w:val="00474BBC"/>
    <w:rsid w:val="00484501"/>
    <w:rsid w:val="00490857"/>
    <w:rsid w:val="00497837"/>
    <w:rsid w:val="004A2F0A"/>
    <w:rsid w:val="004B126F"/>
    <w:rsid w:val="004B7653"/>
    <w:rsid w:val="004C1A2F"/>
    <w:rsid w:val="004C3795"/>
    <w:rsid w:val="00501C66"/>
    <w:rsid w:val="0050412D"/>
    <w:rsid w:val="00504EFA"/>
    <w:rsid w:val="00544697"/>
    <w:rsid w:val="005524A8"/>
    <w:rsid w:val="005604FA"/>
    <w:rsid w:val="00584B85"/>
    <w:rsid w:val="00592A70"/>
    <w:rsid w:val="0059507C"/>
    <w:rsid w:val="005B0FF5"/>
    <w:rsid w:val="005B356A"/>
    <w:rsid w:val="005B459F"/>
    <w:rsid w:val="005C44A9"/>
    <w:rsid w:val="005D6AE1"/>
    <w:rsid w:val="005E2BB0"/>
    <w:rsid w:val="005E3581"/>
    <w:rsid w:val="005F190C"/>
    <w:rsid w:val="005F3646"/>
    <w:rsid w:val="005F771E"/>
    <w:rsid w:val="0060446E"/>
    <w:rsid w:val="006100E9"/>
    <w:rsid w:val="0061059F"/>
    <w:rsid w:val="00630225"/>
    <w:rsid w:val="006450ED"/>
    <w:rsid w:val="0067682E"/>
    <w:rsid w:val="00676C5F"/>
    <w:rsid w:val="00680E2F"/>
    <w:rsid w:val="00686D9E"/>
    <w:rsid w:val="00692B84"/>
    <w:rsid w:val="0069490A"/>
    <w:rsid w:val="00697BF5"/>
    <w:rsid w:val="006C500D"/>
    <w:rsid w:val="006C5F9A"/>
    <w:rsid w:val="006D0775"/>
    <w:rsid w:val="006D0D83"/>
    <w:rsid w:val="006D62C6"/>
    <w:rsid w:val="006D726C"/>
    <w:rsid w:val="006E6C7F"/>
    <w:rsid w:val="006F7423"/>
    <w:rsid w:val="00704D9D"/>
    <w:rsid w:val="00707322"/>
    <w:rsid w:val="00714286"/>
    <w:rsid w:val="00735BDC"/>
    <w:rsid w:val="00742C70"/>
    <w:rsid w:val="00771552"/>
    <w:rsid w:val="00792A13"/>
    <w:rsid w:val="007A26FA"/>
    <w:rsid w:val="007C06AE"/>
    <w:rsid w:val="007E4E71"/>
    <w:rsid w:val="007F5597"/>
    <w:rsid w:val="007F7E34"/>
    <w:rsid w:val="0080298F"/>
    <w:rsid w:val="00805A38"/>
    <w:rsid w:val="008101A1"/>
    <w:rsid w:val="00825FDA"/>
    <w:rsid w:val="008305F9"/>
    <w:rsid w:val="00850A45"/>
    <w:rsid w:val="00854B7E"/>
    <w:rsid w:val="00856DE3"/>
    <w:rsid w:val="008615D1"/>
    <w:rsid w:val="00872FEC"/>
    <w:rsid w:val="00877794"/>
    <w:rsid w:val="00891D13"/>
    <w:rsid w:val="008A236A"/>
    <w:rsid w:val="008A473B"/>
    <w:rsid w:val="008B713C"/>
    <w:rsid w:val="008C6016"/>
    <w:rsid w:val="008C766C"/>
    <w:rsid w:val="008C7F2C"/>
    <w:rsid w:val="008D3853"/>
    <w:rsid w:val="008D4D15"/>
    <w:rsid w:val="008D6959"/>
    <w:rsid w:val="008F3A06"/>
    <w:rsid w:val="00906949"/>
    <w:rsid w:val="00910593"/>
    <w:rsid w:val="00916360"/>
    <w:rsid w:val="009228B0"/>
    <w:rsid w:val="009332B5"/>
    <w:rsid w:val="009359EF"/>
    <w:rsid w:val="00950A0E"/>
    <w:rsid w:val="009579FE"/>
    <w:rsid w:val="00963A92"/>
    <w:rsid w:val="00977C1D"/>
    <w:rsid w:val="00984C6E"/>
    <w:rsid w:val="00994134"/>
    <w:rsid w:val="0099671D"/>
    <w:rsid w:val="00997703"/>
    <w:rsid w:val="009A3982"/>
    <w:rsid w:val="009B092B"/>
    <w:rsid w:val="009C6FD7"/>
    <w:rsid w:val="009D44DE"/>
    <w:rsid w:val="00A006F8"/>
    <w:rsid w:val="00A0091E"/>
    <w:rsid w:val="00A04D3A"/>
    <w:rsid w:val="00A05E74"/>
    <w:rsid w:val="00A07058"/>
    <w:rsid w:val="00A0741B"/>
    <w:rsid w:val="00A3637C"/>
    <w:rsid w:val="00A42661"/>
    <w:rsid w:val="00A54176"/>
    <w:rsid w:val="00A66FE2"/>
    <w:rsid w:val="00A75EF2"/>
    <w:rsid w:val="00A81C61"/>
    <w:rsid w:val="00A82917"/>
    <w:rsid w:val="00A83006"/>
    <w:rsid w:val="00A9216E"/>
    <w:rsid w:val="00AA7419"/>
    <w:rsid w:val="00AB16D0"/>
    <w:rsid w:val="00AC7479"/>
    <w:rsid w:val="00AD3A5C"/>
    <w:rsid w:val="00AE31DD"/>
    <w:rsid w:val="00AE7B4D"/>
    <w:rsid w:val="00B03E94"/>
    <w:rsid w:val="00B12E8D"/>
    <w:rsid w:val="00B17E39"/>
    <w:rsid w:val="00B311B4"/>
    <w:rsid w:val="00B363F2"/>
    <w:rsid w:val="00B4500F"/>
    <w:rsid w:val="00B57DB1"/>
    <w:rsid w:val="00B738AE"/>
    <w:rsid w:val="00B7612A"/>
    <w:rsid w:val="00B81B10"/>
    <w:rsid w:val="00B821D3"/>
    <w:rsid w:val="00BD67B2"/>
    <w:rsid w:val="00BE514F"/>
    <w:rsid w:val="00BF3274"/>
    <w:rsid w:val="00C02CF0"/>
    <w:rsid w:val="00C063FD"/>
    <w:rsid w:val="00C1556A"/>
    <w:rsid w:val="00C20BC8"/>
    <w:rsid w:val="00C24BC3"/>
    <w:rsid w:val="00C36DBC"/>
    <w:rsid w:val="00C419E3"/>
    <w:rsid w:val="00C4537C"/>
    <w:rsid w:val="00C52503"/>
    <w:rsid w:val="00C53C67"/>
    <w:rsid w:val="00C548DC"/>
    <w:rsid w:val="00C64775"/>
    <w:rsid w:val="00C67F84"/>
    <w:rsid w:val="00C8284C"/>
    <w:rsid w:val="00C82D04"/>
    <w:rsid w:val="00C91464"/>
    <w:rsid w:val="00CA3488"/>
    <w:rsid w:val="00CC3F6C"/>
    <w:rsid w:val="00CC4A9C"/>
    <w:rsid w:val="00CD3600"/>
    <w:rsid w:val="00CE0A33"/>
    <w:rsid w:val="00CE5777"/>
    <w:rsid w:val="00D12867"/>
    <w:rsid w:val="00D268DE"/>
    <w:rsid w:val="00D37F09"/>
    <w:rsid w:val="00D40086"/>
    <w:rsid w:val="00D40427"/>
    <w:rsid w:val="00D40BEF"/>
    <w:rsid w:val="00D6077A"/>
    <w:rsid w:val="00D677C0"/>
    <w:rsid w:val="00D80133"/>
    <w:rsid w:val="00D91B40"/>
    <w:rsid w:val="00DB318C"/>
    <w:rsid w:val="00DC0F87"/>
    <w:rsid w:val="00DC2403"/>
    <w:rsid w:val="00DC4C5B"/>
    <w:rsid w:val="00DE5D14"/>
    <w:rsid w:val="00DF0078"/>
    <w:rsid w:val="00DF0465"/>
    <w:rsid w:val="00DF0CE1"/>
    <w:rsid w:val="00DF2439"/>
    <w:rsid w:val="00DF5FD3"/>
    <w:rsid w:val="00E0117B"/>
    <w:rsid w:val="00E0129A"/>
    <w:rsid w:val="00E01390"/>
    <w:rsid w:val="00E042C9"/>
    <w:rsid w:val="00E143D0"/>
    <w:rsid w:val="00E14404"/>
    <w:rsid w:val="00E21AD7"/>
    <w:rsid w:val="00E264D0"/>
    <w:rsid w:val="00E36423"/>
    <w:rsid w:val="00E37E1D"/>
    <w:rsid w:val="00E43379"/>
    <w:rsid w:val="00E54FE5"/>
    <w:rsid w:val="00E652E7"/>
    <w:rsid w:val="00E76814"/>
    <w:rsid w:val="00E83075"/>
    <w:rsid w:val="00E836A1"/>
    <w:rsid w:val="00E8642A"/>
    <w:rsid w:val="00E90B83"/>
    <w:rsid w:val="00EA7144"/>
    <w:rsid w:val="00EC571D"/>
    <w:rsid w:val="00ED05AF"/>
    <w:rsid w:val="00ED4243"/>
    <w:rsid w:val="00ED5A27"/>
    <w:rsid w:val="00EE160B"/>
    <w:rsid w:val="00F13100"/>
    <w:rsid w:val="00F14990"/>
    <w:rsid w:val="00F216CD"/>
    <w:rsid w:val="00F2290D"/>
    <w:rsid w:val="00F32903"/>
    <w:rsid w:val="00F53E81"/>
    <w:rsid w:val="00F547F4"/>
    <w:rsid w:val="00F56C59"/>
    <w:rsid w:val="00F62DCD"/>
    <w:rsid w:val="00F630FE"/>
    <w:rsid w:val="00F75BAB"/>
    <w:rsid w:val="00F8476C"/>
    <w:rsid w:val="00F87F91"/>
    <w:rsid w:val="00F90B76"/>
    <w:rsid w:val="00F944F7"/>
    <w:rsid w:val="00FA70E9"/>
    <w:rsid w:val="00FB1E8C"/>
    <w:rsid w:val="00FB27A1"/>
    <w:rsid w:val="00FB2E92"/>
    <w:rsid w:val="00FB596D"/>
    <w:rsid w:val="00FC577E"/>
    <w:rsid w:val="00FE2650"/>
    <w:rsid w:val="00FE34FE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E8DE3"/>
  <w15:docId w15:val="{340C2C88-0049-4670-B4D1-6BCE3B3C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71B9"/>
    <w:pPr>
      <w:spacing w:line="300" w:lineRule="auto"/>
      <w:jc w:val="both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E0117B"/>
    <w:pPr>
      <w:keepNext/>
      <w:keepLines/>
      <w:numPr>
        <w:numId w:val="2"/>
      </w:numPr>
      <w:pBdr>
        <w:bottom w:val="single" w:sz="4" w:space="1" w:color="auto"/>
      </w:pBdr>
      <w:spacing w:before="240" w:after="240" w:line="276" w:lineRule="auto"/>
      <w:outlineLvl w:val="0"/>
    </w:pPr>
    <w:rPr>
      <w:rFonts w:eastAsiaTheme="majorEastAsia" w:cstheme="majorBidi"/>
      <w:b/>
      <w:color w:val="00B05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17B"/>
    <w:pPr>
      <w:spacing w:before="360" w:line="276" w:lineRule="auto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ED05AF"/>
    <w:pPr>
      <w:numPr>
        <w:ilvl w:val="2"/>
      </w:numPr>
      <w:spacing w:before="40" w:after="0"/>
      <w:outlineLvl w:val="2"/>
    </w:pPr>
    <w:rPr>
      <w:b w:val="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DE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DE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DE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aliases w:val="mTabulky"/>
    <w:basedOn w:val="Normln"/>
    <w:next w:val="Normln"/>
    <w:link w:val="Nadpis7Char"/>
    <w:uiPriority w:val="9"/>
    <w:unhideWhenUsed/>
    <w:qFormat/>
    <w:rsid w:val="00856DE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DE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DE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nad 1,Odstavec se seznamem1,Tabulka,Název grafu"/>
    <w:basedOn w:val="Normln"/>
    <w:link w:val="OdstavecseseznamemChar"/>
    <w:uiPriority w:val="34"/>
    <w:qFormat/>
    <w:rsid w:val="00C419E3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ad 1 Char,Odstavec se seznamem1 Char,Tabulka Char,Název grafu Char"/>
    <w:link w:val="Odstavecseseznamem"/>
    <w:uiPriority w:val="34"/>
    <w:locked/>
    <w:rsid w:val="00253C48"/>
  </w:style>
  <w:style w:type="paragraph" w:styleId="Zhlav">
    <w:name w:val="header"/>
    <w:basedOn w:val="Normln"/>
    <w:link w:val="ZhlavChar"/>
    <w:uiPriority w:val="99"/>
    <w:unhideWhenUsed/>
    <w:rsid w:val="007A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6FA"/>
  </w:style>
  <w:style w:type="paragraph" w:styleId="Zpat">
    <w:name w:val="footer"/>
    <w:basedOn w:val="Normln"/>
    <w:link w:val="ZpatChar"/>
    <w:uiPriority w:val="99"/>
    <w:unhideWhenUsed/>
    <w:rsid w:val="007A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6FA"/>
  </w:style>
  <w:style w:type="paragraph" w:styleId="Textbubliny">
    <w:name w:val="Balloon Text"/>
    <w:basedOn w:val="Normln"/>
    <w:link w:val="TextbublinyChar"/>
    <w:uiPriority w:val="99"/>
    <w:semiHidden/>
    <w:unhideWhenUsed/>
    <w:rsid w:val="0059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07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0117B"/>
    <w:rPr>
      <w:rFonts w:ascii="Calibri Light" w:eastAsiaTheme="majorEastAsia" w:hAnsi="Calibri Light" w:cstheme="majorBidi"/>
      <w:b/>
      <w:color w:val="00B05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0117B"/>
    <w:rPr>
      <w:rFonts w:ascii="Calibri Light" w:hAnsi="Calibri Light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ED05AF"/>
    <w:rPr>
      <w:rFonts w:ascii="Book Antiqua" w:eastAsiaTheme="majorEastAsia" w:hAnsi="Book Antiqua" w:cstheme="majorBidi"/>
      <w:color w:val="00B050"/>
      <w:sz w:val="24"/>
      <w:szCs w:val="24"/>
    </w:rPr>
  </w:style>
  <w:style w:type="character" w:customStyle="1" w:styleId="apple-converted-space">
    <w:name w:val="apple-converted-space"/>
    <w:basedOn w:val="Standardnpsmoodstavce"/>
    <w:rsid w:val="00ED05AF"/>
  </w:style>
  <w:style w:type="character" w:customStyle="1" w:styleId="hword">
    <w:name w:val="h_word"/>
    <w:basedOn w:val="Standardnpsmoodstavce"/>
    <w:rsid w:val="00ED05AF"/>
  </w:style>
  <w:style w:type="character" w:styleId="Hypertextovodkaz">
    <w:name w:val="Hyperlink"/>
    <w:basedOn w:val="Standardnpsmoodstavce"/>
    <w:uiPriority w:val="99"/>
    <w:unhideWhenUsed/>
    <w:rsid w:val="00ED05A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B71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3C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D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DE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D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aliases w:val="mTabulky Char"/>
    <w:basedOn w:val="Standardnpsmoodstavce"/>
    <w:link w:val="Nadpis7"/>
    <w:uiPriority w:val="9"/>
    <w:rsid w:val="00856D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D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D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1B354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81B10"/>
    <w:rPr>
      <w:color w:val="954F72" w:themeColor="followedHyperlink"/>
      <w:u w:val="single"/>
    </w:rPr>
  </w:style>
  <w:style w:type="table" w:customStyle="1" w:styleId="Tmavtabulkasmkou5zvraznn11">
    <w:name w:val="Tmavá tabulka s mřížkou 5 – zvýraznění 11"/>
    <w:basedOn w:val="Normlntabulka"/>
    <w:uiPriority w:val="50"/>
    <w:rsid w:val="0021669B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ezmezer">
    <w:name w:val="No Spacing"/>
    <w:uiPriority w:val="1"/>
    <w:qFormat/>
    <w:rsid w:val="0021669B"/>
    <w:pPr>
      <w:spacing w:after="0" w:line="240" w:lineRule="auto"/>
    </w:pPr>
    <w:rPr>
      <w:rFonts w:eastAsiaTheme="minorEastAsia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A9216E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16360"/>
    <w:pPr>
      <w:tabs>
        <w:tab w:val="left" w:pos="440"/>
        <w:tab w:val="right" w:leader="dot" w:pos="9062"/>
      </w:tabs>
      <w:spacing w:after="0" w:line="240" w:lineRule="auto"/>
    </w:pPr>
    <w:rPr>
      <w:rFonts w:cs="Calibri Light"/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E0117B"/>
    <w:pPr>
      <w:tabs>
        <w:tab w:val="right" w:leader="dot" w:pos="9062"/>
      </w:tabs>
      <w:spacing w:before="120" w:after="120" w:line="240" w:lineRule="auto"/>
      <w:ind w:left="709"/>
    </w:pPr>
  </w:style>
  <w:style w:type="paragraph" w:styleId="Zkladntext">
    <w:name w:val="Body Text"/>
    <w:basedOn w:val="Normln"/>
    <w:link w:val="ZkladntextChar"/>
    <w:uiPriority w:val="1"/>
    <w:qFormat/>
    <w:rsid w:val="00C828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8284C"/>
    <w:rPr>
      <w:rFonts w:ascii="Calibri" w:eastAsia="Calibri" w:hAnsi="Calibri" w:cs="Calibri"/>
      <w:lang w:eastAsia="cs-CZ" w:bidi="cs-CZ"/>
    </w:rPr>
  </w:style>
  <w:style w:type="character" w:customStyle="1" w:styleId="markedcontent">
    <w:name w:val="markedcontent"/>
    <w:basedOn w:val="Standardnpsmoodstavce"/>
    <w:rsid w:val="00C52503"/>
  </w:style>
  <w:style w:type="character" w:customStyle="1" w:styleId="highlight">
    <w:name w:val="highlight"/>
    <w:basedOn w:val="Standardnpsmoodstavce"/>
    <w:rsid w:val="00E21AD7"/>
  </w:style>
  <w:style w:type="character" w:styleId="Siln">
    <w:name w:val="Strong"/>
    <w:basedOn w:val="Standardnpsmoodstavce"/>
    <w:uiPriority w:val="22"/>
    <w:qFormat/>
    <w:rsid w:val="001B38B4"/>
    <w:rPr>
      <w:b/>
      <w:bCs/>
    </w:rPr>
  </w:style>
  <w:style w:type="character" w:styleId="slostrnky">
    <w:name w:val="page number"/>
    <w:basedOn w:val="Standardnpsmoodstavce"/>
    <w:uiPriority w:val="99"/>
    <w:unhideWhenUsed/>
    <w:rsid w:val="003A71B9"/>
  </w:style>
  <w:style w:type="character" w:styleId="Zdraznn">
    <w:name w:val="Emphasis"/>
    <w:basedOn w:val="Standardnpsmoodstavce"/>
    <w:uiPriority w:val="20"/>
    <w:qFormat/>
    <w:rsid w:val="005F3646"/>
    <w:rPr>
      <w:i/>
      <w:iCs/>
    </w:rPr>
  </w:style>
  <w:style w:type="paragraph" w:styleId="Normlnweb">
    <w:name w:val="Normal (Web)"/>
    <w:basedOn w:val="Normln"/>
    <w:uiPriority w:val="99"/>
    <w:unhideWhenUsed/>
    <w:rsid w:val="002F6D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jak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02EF-26AB-4B5C-8622-0CF2BEF9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2243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 LS Notebook</dc:creator>
  <cp:lastModifiedBy>Jana Davidová</cp:lastModifiedBy>
  <cp:revision>6</cp:revision>
  <cp:lastPrinted>2024-04-17T11:40:00Z</cp:lastPrinted>
  <dcterms:created xsi:type="dcterms:W3CDTF">2024-05-27T05:46:00Z</dcterms:created>
  <dcterms:modified xsi:type="dcterms:W3CDTF">2024-05-27T12:54:00Z</dcterms:modified>
</cp:coreProperties>
</file>